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02" w:rsidRDefault="00602002" w:rsidP="00B52015">
      <w:pPr>
        <w:pStyle w:val="TITLE"/>
        <w:spacing w:line="480" w:lineRule="auto"/>
        <w:rPr>
          <w:color w:val="000000"/>
        </w:rPr>
      </w:pPr>
      <w:r>
        <w:rPr>
          <w:color w:val="000000"/>
        </w:rPr>
        <w:t xml:space="preserve">The </w:t>
      </w:r>
      <w:r w:rsidR="00C13BCD">
        <w:rPr>
          <w:color w:val="000000"/>
        </w:rPr>
        <w:t>Trigger and Clock D</w:t>
      </w:r>
      <w:r w:rsidR="003E6B4F">
        <w:rPr>
          <w:color w:val="000000"/>
        </w:rPr>
        <w:t xml:space="preserve">istribution for </w:t>
      </w:r>
      <w:r w:rsidR="00C13BCD">
        <w:rPr>
          <w:color w:val="000000"/>
        </w:rPr>
        <w:t>GLUEX Experiment (or 12 GeV Upgrade Experiments?)</w:t>
      </w:r>
    </w:p>
    <w:p w:rsidR="00602002" w:rsidRDefault="003E6B4F" w:rsidP="00B52015">
      <w:pPr>
        <w:pStyle w:val="AuthorsnamesChar"/>
        <w:spacing w:line="480" w:lineRule="auto"/>
        <w:rPr>
          <w:color w:val="000000"/>
          <w:lang w:val="en-US"/>
        </w:rPr>
      </w:pPr>
      <w:r>
        <w:rPr>
          <w:color w:val="000000"/>
          <w:lang w:val="en-US"/>
        </w:rPr>
        <w:t>DAQ group</w:t>
      </w:r>
      <w:r w:rsidR="00F618FA">
        <w:rPr>
          <w:color w:val="000000"/>
          <w:lang w:val="en-US"/>
        </w:rPr>
        <w:t>*</w:t>
      </w:r>
      <w:r>
        <w:rPr>
          <w:color w:val="000000"/>
          <w:lang w:val="en-US"/>
        </w:rPr>
        <w:t xml:space="preserve"> and Fast Electronics group</w:t>
      </w:r>
    </w:p>
    <w:p w:rsidR="00602002" w:rsidRDefault="00602002" w:rsidP="00B52015">
      <w:pPr>
        <w:pStyle w:val="Organizationnameaddress"/>
        <w:spacing w:line="480" w:lineRule="auto"/>
        <w:rPr>
          <w:color w:val="000000"/>
        </w:rPr>
      </w:pPr>
      <w:r>
        <w:rPr>
          <w:color w:val="000000"/>
        </w:rPr>
        <w:t>T</w:t>
      </w:r>
      <w:r w:rsidR="003E6B4F">
        <w:rPr>
          <w:color w:val="000000"/>
        </w:rPr>
        <w:t>homas Jefferson National Accelerator Laboratory</w:t>
      </w:r>
      <w:r w:rsidR="00863542">
        <w:rPr>
          <w:color w:val="000000"/>
        </w:rPr>
        <w:t xml:space="preserve"> (TJNAL)</w:t>
      </w:r>
      <w:r w:rsidR="003E6B4F">
        <w:rPr>
          <w:color w:val="000000"/>
        </w:rPr>
        <w:t>, Newport News, VA 23606, U</w:t>
      </w:r>
      <w:r>
        <w:rPr>
          <w:color w:val="000000"/>
        </w:rPr>
        <w:t xml:space="preserve">SA </w:t>
      </w:r>
    </w:p>
    <w:p w:rsidR="00602002" w:rsidRDefault="00602002" w:rsidP="00B52015">
      <w:pPr>
        <w:pStyle w:val="AuthorsnamesChar"/>
        <w:spacing w:line="480" w:lineRule="auto"/>
        <w:rPr>
          <w:rStyle w:val="Hyperlink"/>
          <w:color w:val="000000"/>
          <w:u w:val="none"/>
        </w:rPr>
      </w:pPr>
    </w:p>
    <w:p w:rsidR="00602002" w:rsidRDefault="007E4D97" w:rsidP="00B52015">
      <w:pPr>
        <w:spacing w:line="480" w:lineRule="auto"/>
      </w:pPr>
      <w:r>
        <w:t>Notice: Authored by Jefferson Science Associates, LLC under U.S. DOE Contract No. DE-AC05-06OR23177. The U.S. Government retains a non-exclusive, paid-up, irrevocable, world-wide license to publish or reproduce this manuscript for U.S. Government purposes.</w:t>
      </w:r>
    </w:p>
    <w:p w:rsidR="007E4D97" w:rsidRDefault="007E4D97" w:rsidP="00B52015">
      <w:pPr>
        <w:spacing w:line="480" w:lineRule="auto"/>
      </w:pPr>
    </w:p>
    <w:p w:rsidR="007E4D97" w:rsidRDefault="007E4D97" w:rsidP="00B52015">
      <w:pPr>
        <w:spacing w:line="480" w:lineRule="auto"/>
        <w:rPr>
          <w:color w:val="000000"/>
        </w:rPr>
        <w:sectPr w:rsidR="007E4D97" w:rsidSect="00C7623F">
          <w:footerReference w:type="even" r:id="rId8"/>
          <w:footerReference w:type="default" r:id="rId9"/>
          <w:pgSz w:w="11906" w:h="16838" w:code="9"/>
          <w:pgMar w:top="1584" w:right="1440" w:bottom="1224" w:left="1440" w:header="720" w:footer="720" w:gutter="0"/>
          <w:lnNumType w:countBy="1"/>
          <w:cols w:space="720"/>
        </w:sectPr>
      </w:pPr>
    </w:p>
    <w:p w:rsidR="00602002" w:rsidRDefault="00602002" w:rsidP="00B52015">
      <w:pPr>
        <w:pStyle w:val="AbstractHeading"/>
        <w:spacing w:line="480" w:lineRule="auto"/>
        <w:rPr>
          <w:color w:val="000000"/>
        </w:rPr>
      </w:pPr>
      <w:r>
        <w:rPr>
          <w:color w:val="000000"/>
        </w:rPr>
        <w:lastRenderedPageBreak/>
        <w:t>Abstract</w:t>
      </w:r>
    </w:p>
    <w:p w:rsidR="00576749" w:rsidRDefault="00173466" w:rsidP="00576749">
      <w:pPr>
        <w:pStyle w:val="MAINBODY"/>
        <w:spacing w:line="480" w:lineRule="auto"/>
      </w:pPr>
      <w:r>
        <w:t xml:space="preserve">Trigger and Clock distribution system for the </w:t>
      </w:r>
      <w:r w:rsidR="0011308C">
        <w:t xml:space="preserve">GLUEX[1] </w:t>
      </w:r>
      <w:r>
        <w:t>experiment</w:t>
      </w:r>
      <w:r w:rsidR="0011308C">
        <w:t xml:space="preserve"> at </w:t>
      </w:r>
      <w:r w:rsidR="005E7689">
        <w:t>the Continues Electron Beam Accelerator Facility (CEBAF)</w:t>
      </w:r>
      <w:r w:rsidR="0011308C">
        <w:t xml:space="preserve"> 12 GeV upgrade [2</w:t>
      </w:r>
      <w:r>
        <w:t>]</w:t>
      </w:r>
      <w:r w:rsidR="00602002">
        <w:t xml:space="preserve"> </w:t>
      </w:r>
      <w:r w:rsidR="0011308C">
        <w:t xml:space="preserve">in TJNAL </w:t>
      </w:r>
      <w:r w:rsidR="0007486B">
        <w:t>is</w:t>
      </w:r>
      <w:r w:rsidR="00602002">
        <w:t xml:space="preserve"> described.  </w:t>
      </w:r>
      <w:r w:rsidR="00130C8C">
        <w:t xml:space="preserve">The </w:t>
      </w:r>
      <w:r>
        <w:t xml:space="preserve">trigger and clock distribution </w:t>
      </w:r>
      <w:r w:rsidR="00130C8C">
        <w:t>system</w:t>
      </w:r>
      <w:r w:rsidR="00602002">
        <w:t xml:space="preserve"> includes </w:t>
      </w:r>
      <w:r>
        <w:t>Trigger Supervisor</w:t>
      </w:r>
      <w:r w:rsidR="0011308C">
        <w:t xml:space="preserve"> (TS)[3]</w:t>
      </w:r>
      <w:r>
        <w:t xml:space="preserve"> printed circuit board</w:t>
      </w:r>
      <w:r w:rsidR="0011308C">
        <w:t xml:space="preserve"> (PCB)</w:t>
      </w:r>
      <w:r>
        <w:t>, Trigger Distribution</w:t>
      </w:r>
      <w:r w:rsidR="0011308C">
        <w:t xml:space="preserve"> (TD</w:t>
      </w:r>
      <w:r>
        <w:t>)</w:t>
      </w:r>
      <w:r w:rsidR="0011308C">
        <w:t>[4] PCB</w:t>
      </w:r>
      <w:r>
        <w:t>, Trigger Interface</w:t>
      </w:r>
      <w:r w:rsidR="0011308C">
        <w:t xml:space="preserve"> (TI</w:t>
      </w:r>
      <w:r>
        <w:t>)</w:t>
      </w:r>
      <w:r w:rsidR="0011308C">
        <w:t>[5]</w:t>
      </w:r>
      <w:r>
        <w:t xml:space="preserve"> </w:t>
      </w:r>
      <w:r w:rsidR="0011308C">
        <w:t>PCB</w:t>
      </w:r>
      <w:r>
        <w:t>, Signal Distribution</w:t>
      </w:r>
      <w:r w:rsidR="0011308C">
        <w:t xml:space="preserve"> (SD</w:t>
      </w:r>
      <w:r>
        <w:t>)</w:t>
      </w:r>
      <w:r w:rsidR="0011308C">
        <w:t>[6]</w:t>
      </w:r>
      <w:r>
        <w:t xml:space="preserve"> </w:t>
      </w:r>
      <w:r w:rsidR="0011308C">
        <w:t>PCB, VXS crates [7</w:t>
      </w:r>
      <w:r>
        <w:t xml:space="preserve">] and optical fibres.  </w:t>
      </w:r>
      <w:r w:rsidR="0021327F">
        <w:t>The TS is the main hardware interfacing between the trigger system</w:t>
      </w:r>
      <w:r w:rsidR="0011308C">
        <w:t>[8]</w:t>
      </w:r>
      <w:r w:rsidR="0021327F">
        <w:t xml:space="preserve"> and Data Acquisition</w:t>
      </w:r>
      <w:r w:rsidR="0011308C">
        <w:t xml:space="preserve"> </w:t>
      </w:r>
      <w:r w:rsidR="001C5D1F">
        <w:t xml:space="preserve">system </w:t>
      </w:r>
      <w:r w:rsidR="0011308C">
        <w:t>(DAQ</w:t>
      </w:r>
      <w:r w:rsidR="0021327F">
        <w:t>)</w:t>
      </w:r>
      <w:r w:rsidR="0011308C">
        <w:t>[9]</w:t>
      </w:r>
      <w:r w:rsidR="0021327F">
        <w:t>, and it is the sources for the distributed trigger and clock</w:t>
      </w:r>
      <w:r w:rsidR="00E65D9B">
        <w:t xml:space="preserve"> signals</w:t>
      </w:r>
      <w:r w:rsidR="0021327F">
        <w:t xml:space="preserve">.  The SD and TD </w:t>
      </w:r>
      <w:r w:rsidR="00576749">
        <w:t xml:space="preserve">modules </w:t>
      </w:r>
      <w:r w:rsidR="0021327F">
        <w:t xml:space="preserve">are the main fan out hardware.  The TI is the main hardware interfacing between the DAQ and the front end electronics.  </w:t>
      </w:r>
      <w:r w:rsidR="00576749">
        <w:t xml:space="preserve">Together with bundled optical fibres, the dedicated high speed point to point connections between the switch slot and payload slots on P0 connectors </w:t>
      </w:r>
      <w:r w:rsidR="00E65D9B">
        <w:t>in VXS crate are used for signal trans</w:t>
      </w:r>
      <w:r w:rsidR="00452782">
        <w:t>mission</w:t>
      </w:r>
      <w:r w:rsidR="00E65D9B">
        <w:t>.</w:t>
      </w:r>
    </w:p>
    <w:p w:rsidR="00602002" w:rsidRDefault="00602002" w:rsidP="00576749">
      <w:pPr>
        <w:pStyle w:val="MAINBODY"/>
        <w:spacing w:line="480" w:lineRule="auto"/>
      </w:pPr>
      <w:r>
        <w:t xml:space="preserve">Field Programmable Gate Arrays (FPGA) are utilised on all boards in the system to provide programmability.  </w:t>
      </w:r>
      <w:r w:rsidR="00E65D9B">
        <w:t xml:space="preserve">The prototype was intensively tested on the bench.  </w:t>
      </w:r>
      <w:r>
        <w:t xml:space="preserve">The </w:t>
      </w:r>
      <w:r w:rsidR="00576749">
        <w:t>trigger and clock distribution  s</w:t>
      </w:r>
      <w:r>
        <w:t xml:space="preserve">ystem </w:t>
      </w:r>
      <w:r w:rsidR="001C5D1F">
        <w:t xml:space="preserve">is under </w:t>
      </w:r>
      <w:r w:rsidR="00576749">
        <w:t>mass pr</w:t>
      </w:r>
      <w:r w:rsidR="00E65D9B">
        <w:t>oduc</w:t>
      </w:r>
      <w:r w:rsidR="001C5D1F">
        <w:t>tion</w:t>
      </w:r>
      <w:r w:rsidR="00E65D9B">
        <w:t>, and will be installed for</w:t>
      </w:r>
      <w:r w:rsidR="00576749">
        <w:t xml:space="preserve"> </w:t>
      </w:r>
      <w:r w:rsidR="005E7689">
        <w:t>the</w:t>
      </w:r>
      <w:r w:rsidR="00E65D9B">
        <w:t xml:space="preserve"> </w:t>
      </w:r>
      <w:r w:rsidR="00576749">
        <w:t>experiment</w:t>
      </w:r>
      <w:r w:rsidR="001C5D1F">
        <w:t xml:space="preserve"> by 2013</w:t>
      </w:r>
      <w:r w:rsidR="004946CF">
        <w:t xml:space="preserve">.  </w:t>
      </w:r>
    </w:p>
    <w:p w:rsidR="00156C90" w:rsidRDefault="00156C90" w:rsidP="00B52015">
      <w:pPr>
        <w:pStyle w:val="MAINBODY"/>
        <w:spacing w:line="480" w:lineRule="auto"/>
      </w:pPr>
    </w:p>
    <w:p w:rsidR="00156C90" w:rsidRPr="00156C90" w:rsidRDefault="00156C90" w:rsidP="00B52015">
      <w:pPr>
        <w:pStyle w:val="MAINBODY"/>
        <w:spacing w:line="480" w:lineRule="auto"/>
        <w:jc w:val="center"/>
        <w:rPr>
          <w:i/>
        </w:rPr>
      </w:pPr>
      <w:r w:rsidRPr="00156C90">
        <w:rPr>
          <w:i/>
        </w:rPr>
        <w:t>Keywords:</w:t>
      </w:r>
    </w:p>
    <w:p w:rsidR="00156C90" w:rsidRDefault="00156C90" w:rsidP="00B52015">
      <w:pPr>
        <w:pStyle w:val="MAINBODY"/>
        <w:spacing w:line="480" w:lineRule="auto"/>
      </w:pPr>
      <w:r>
        <w:t xml:space="preserve">Data Acquisition (DAQ), </w:t>
      </w:r>
      <w:r w:rsidR="00F618FA">
        <w:t>Trigger distribution, Clock distribution, 12 GeV upgrade, CEBAF (Continuous Electron Beam accelerator Facility),</w:t>
      </w:r>
      <w:r>
        <w:t xml:space="preserve"> Electronics</w:t>
      </w:r>
      <w:r w:rsidR="00C64040">
        <w:t xml:space="preserve"> </w:t>
      </w:r>
      <w:r>
        <w:t>System</w:t>
      </w:r>
    </w:p>
    <w:p w:rsidR="00ED5D7B" w:rsidRDefault="00ED5D7B" w:rsidP="00B52015">
      <w:pPr>
        <w:pStyle w:val="MAINBODY"/>
        <w:spacing w:line="480" w:lineRule="auto"/>
      </w:pPr>
    </w:p>
    <w:p w:rsidR="00ED5D7B" w:rsidRDefault="00ED5D7B" w:rsidP="00B52015">
      <w:pPr>
        <w:pStyle w:val="MAINBODY"/>
        <w:spacing w:line="480" w:lineRule="auto"/>
        <w:rPr>
          <w:color w:val="333333"/>
        </w:rPr>
      </w:pPr>
      <w:r>
        <w:rPr>
          <w:smallCaps/>
        </w:rPr>
        <w:lastRenderedPageBreak/>
        <w:t xml:space="preserve">* </w:t>
      </w:r>
      <w:r w:rsidR="00E65D9B">
        <w:rPr>
          <w:color w:val="333333"/>
        </w:rPr>
        <w:t>Corresponding author.</w:t>
      </w:r>
      <w:r w:rsidRPr="00ED5D7B">
        <w:rPr>
          <w:color w:val="333333"/>
        </w:rPr>
        <w:t xml:space="preserve">  Tel: +1-</w:t>
      </w:r>
      <w:r w:rsidR="00F618FA">
        <w:rPr>
          <w:color w:val="333333"/>
        </w:rPr>
        <w:t>757</w:t>
      </w:r>
      <w:r w:rsidRPr="00ED5D7B">
        <w:rPr>
          <w:color w:val="333333"/>
        </w:rPr>
        <w:t>-2</w:t>
      </w:r>
      <w:r w:rsidR="00F618FA">
        <w:rPr>
          <w:color w:val="333333"/>
        </w:rPr>
        <w:t>69</w:t>
      </w:r>
      <w:r w:rsidRPr="00ED5D7B">
        <w:rPr>
          <w:color w:val="333333"/>
        </w:rPr>
        <w:t>-</w:t>
      </w:r>
      <w:r w:rsidR="00F618FA">
        <w:rPr>
          <w:color w:val="333333"/>
        </w:rPr>
        <w:t>5</w:t>
      </w:r>
      <w:r w:rsidRPr="00ED5D7B">
        <w:rPr>
          <w:color w:val="333333"/>
        </w:rPr>
        <w:t>3</w:t>
      </w:r>
      <w:r w:rsidR="00F618FA">
        <w:rPr>
          <w:color w:val="333333"/>
        </w:rPr>
        <w:t>58</w:t>
      </w:r>
      <w:r w:rsidRPr="00ED5D7B">
        <w:rPr>
          <w:color w:val="333333"/>
        </w:rPr>
        <w:t xml:space="preserve">. </w:t>
      </w:r>
    </w:p>
    <w:p w:rsidR="00ED5D7B" w:rsidRDefault="00F618FA" w:rsidP="00F618FA">
      <w:pPr>
        <w:pStyle w:val="MAINBODY"/>
        <w:spacing w:line="480" w:lineRule="auto"/>
        <w:ind w:left="1440" w:firstLine="0"/>
        <w:rPr>
          <w:color w:val="333333"/>
        </w:rPr>
      </w:pPr>
      <w:r>
        <w:rPr>
          <w:color w:val="333333"/>
        </w:rPr>
        <w:t>E-mail address: jgu</w:t>
      </w:r>
      <w:r w:rsidR="008D5237">
        <w:rPr>
          <w:color w:val="333333"/>
        </w:rPr>
        <w:t>@</w:t>
      </w:r>
      <w:r>
        <w:rPr>
          <w:color w:val="333333"/>
        </w:rPr>
        <w:t>jlab.org</w:t>
      </w:r>
      <w:r w:rsidR="00ED5D7B" w:rsidRPr="00ED5D7B">
        <w:rPr>
          <w:color w:val="333333"/>
        </w:rPr>
        <w:t xml:space="preserve">. </w:t>
      </w:r>
    </w:p>
    <w:p w:rsidR="00ED5D7B" w:rsidRPr="00ED5D7B" w:rsidRDefault="00987BF3" w:rsidP="00F618FA">
      <w:pPr>
        <w:pStyle w:val="MAINBODY"/>
        <w:spacing w:line="480" w:lineRule="auto"/>
        <w:ind w:left="1440" w:firstLine="0"/>
        <w:rPr>
          <w:color w:val="333333"/>
        </w:rPr>
      </w:pPr>
      <w:r>
        <w:rPr>
          <w:color w:val="333333"/>
        </w:rPr>
        <w:t>Postal</w:t>
      </w:r>
      <w:r w:rsidR="00ED5D7B" w:rsidRPr="00ED5D7B">
        <w:rPr>
          <w:color w:val="333333"/>
        </w:rPr>
        <w:t xml:space="preserve"> address: </w:t>
      </w:r>
      <w:r w:rsidR="00F618FA">
        <w:rPr>
          <w:color w:val="333333"/>
        </w:rPr>
        <w:t>Mail Stop 10, 12000 Jefferson</w:t>
      </w:r>
      <w:r w:rsidR="00ED5D7B" w:rsidRPr="00ED5D7B">
        <w:rPr>
          <w:color w:val="333333"/>
        </w:rPr>
        <w:t xml:space="preserve"> Avenue, </w:t>
      </w:r>
      <w:r w:rsidR="00375A0C">
        <w:rPr>
          <w:color w:val="333333"/>
        </w:rPr>
        <w:t>Newport News</w:t>
      </w:r>
      <w:r w:rsidR="00E65D9B">
        <w:rPr>
          <w:color w:val="333333"/>
        </w:rPr>
        <w:t>,</w:t>
      </w:r>
      <w:r w:rsidR="00375A0C">
        <w:rPr>
          <w:color w:val="333333"/>
        </w:rPr>
        <w:t xml:space="preserve"> VA 23</w:t>
      </w:r>
      <w:r w:rsidR="00F618FA">
        <w:rPr>
          <w:color w:val="333333"/>
        </w:rPr>
        <w:t>606, USA</w:t>
      </w:r>
      <w:r w:rsidR="00ED5D7B" w:rsidRPr="00ED5D7B">
        <w:rPr>
          <w:color w:val="333333"/>
        </w:rPr>
        <w:t>.</w:t>
      </w:r>
    </w:p>
    <w:p w:rsidR="00602002" w:rsidRDefault="00156C90" w:rsidP="00B52015">
      <w:pPr>
        <w:pStyle w:val="MAINHEADINGS"/>
        <w:spacing w:line="480" w:lineRule="auto"/>
      </w:pPr>
      <w:r>
        <w:br w:type="page"/>
      </w:r>
      <w:r w:rsidR="00602002">
        <w:lastRenderedPageBreak/>
        <w:t>Introduction</w:t>
      </w:r>
    </w:p>
    <w:p w:rsidR="00F1264C" w:rsidRDefault="00F1264C" w:rsidP="00B52015">
      <w:pPr>
        <w:pStyle w:val="MAINBODY"/>
        <w:spacing w:line="480" w:lineRule="auto"/>
      </w:pPr>
      <w:r>
        <w:t>GlueX experiment is the first experiment in the new experiment hall (HallD) as part of the 12GeV upgrade of the Continues Electron Beam Accelerator Facility (CEBAF) at Thomas Jefferson National Accelerator Laboratory (TJNAL).  The CEBAF accelerator consists of a pair of superconducting radiofrequency linacs linked by recirculation arcs for up to five acceleration passes. It serves three experimental halls with simult</w:t>
      </w:r>
      <w:r w:rsidR="001C5D1F">
        <w:t xml:space="preserve">aneous, continuous-wave beams, </w:t>
      </w:r>
      <w:r>
        <w:t>with a final energy of up to 6 GeV thanks to incremental improvements in cryomodule technology.  The 12 GeV upgrade will double the beam energy by using</w:t>
      </w:r>
      <w:r w:rsidR="00E87BDF">
        <w:t xml:space="preserve"> higher performing seven cell cavities while maintaining the overall length of the original cryomodule design. Using space already available in the accelerator tunnels, </w:t>
      </w:r>
      <w:r>
        <w:t>add another recirculationg arc to boost the energy to 12 GeV in the newly constructed experiment hall.</w:t>
      </w:r>
    </w:p>
    <w:p w:rsidR="00E65D9B" w:rsidRDefault="00330E1D" w:rsidP="00B52015">
      <w:pPr>
        <w:pStyle w:val="MAINBODY"/>
        <w:spacing w:line="480" w:lineRule="auto"/>
      </w:pPr>
      <w:r>
        <w:t>The 12 GeV Upgrade is a unique opportunity for the nuclear physics community to expand its reaches into unknown scientific areas. For the first time, researchers will be able to probe the quark and gluon structure of strongly interacting systems to determine whether QCD (quantum chromodynamics), the theory believed to describe strong interactions, gives a full and complete description of hadronic (3 quark) systems. JLab at 12 GeV will make profound contributions to the study of hadronic matter-the matter that makes up everything in the world.</w:t>
      </w:r>
    </w:p>
    <w:p w:rsidR="00E65D9B" w:rsidRDefault="00330E1D" w:rsidP="00B52015">
      <w:pPr>
        <w:pStyle w:val="MAINBODY"/>
        <w:spacing w:line="480" w:lineRule="auto"/>
      </w:pPr>
      <w:r>
        <w:t>The new experimental Hall will use the electron beam to produce a coherent bremsstrahlung beam and house a solenoid detector to carry out a program in gluonic spectroscopy to experimentally test current understanding of quark confinement. All three existing halls will be upgraded to receive the new Five-pass, 11 GeV beam. The additional experimental equipment proposed for Halls A, B and C take full advantage of currently installed apparatus</w:t>
      </w:r>
      <w:r w:rsidR="00A442E2">
        <w:t xml:space="preserve">.  </w:t>
      </w:r>
      <w:r w:rsidR="00F1264C">
        <w:t xml:space="preserve">Figure 1 shows a picture of the </w:t>
      </w:r>
      <w:r w:rsidR="00BA3435">
        <w:t>GlueX</w:t>
      </w:r>
      <w:r w:rsidR="00F1264C">
        <w:t xml:space="preserve"> </w:t>
      </w:r>
      <w:r w:rsidR="00D00B44">
        <w:t>detector</w:t>
      </w:r>
      <w:r w:rsidR="00F1264C">
        <w:t xml:space="preserve"> setup.</w:t>
      </w:r>
    </w:p>
    <w:p w:rsidR="001B263F" w:rsidRDefault="00EE76CC" w:rsidP="001B263F">
      <w:pPr>
        <w:pStyle w:val="MAINBODY"/>
        <w:keepNext/>
        <w:spacing w:line="480" w:lineRule="auto"/>
      </w:pPr>
      <w:r>
        <w:rPr>
          <w:noProof/>
          <w:lang w:val="en-US"/>
        </w:rPr>
        <w:lastRenderedPageBreak/>
        <w:drawing>
          <wp:inline distT="0" distB="0" distL="0" distR="0">
            <wp:extent cx="4552950" cy="3396126"/>
            <wp:effectExtent l="19050" t="0" r="0" b="0"/>
            <wp:docPr id="14" name="Picture 13" descr="Gluex_detector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x_detector_3d.jpg"/>
                    <pic:cNvPicPr/>
                  </pic:nvPicPr>
                  <pic:blipFill>
                    <a:blip r:embed="rId10" cstate="print"/>
                    <a:srcRect l="7734" t="9375" r="9141" b="6563"/>
                    <a:stretch>
                      <a:fillRect/>
                    </a:stretch>
                  </pic:blipFill>
                  <pic:spPr>
                    <a:xfrm>
                      <a:off x="0" y="0"/>
                      <a:ext cx="4552950" cy="3396126"/>
                    </a:xfrm>
                    <a:prstGeom prst="rect">
                      <a:avLst/>
                    </a:prstGeom>
                  </pic:spPr>
                </pic:pic>
              </a:graphicData>
            </a:graphic>
          </wp:inline>
        </w:drawing>
      </w:r>
    </w:p>
    <w:p w:rsidR="001B263F" w:rsidRDefault="001B263F" w:rsidP="001B263F">
      <w:pPr>
        <w:pStyle w:val="Caption"/>
        <w:jc w:val="both"/>
      </w:pPr>
      <w:bookmarkStart w:id="0" w:name="_Toc298402125"/>
      <w:r>
        <w:t xml:space="preserve">Figure </w:t>
      </w:r>
      <w:fldSimple w:instr=" SEQ Figure \* ARABIC ">
        <w:r w:rsidR="00CD6839">
          <w:rPr>
            <w:noProof/>
          </w:rPr>
          <w:t>1</w:t>
        </w:r>
      </w:fldSimple>
      <w:r>
        <w:t xml:space="preserve"> </w:t>
      </w:r>
      <w:r w:rsidR="00F855BB">
        <w:t xml:space="preserve">GlueX </w:t>
      </w:r>
      <w:r>
        <w:t>experiment for CEBAF 12 GeV upgrade</w:t>
      </w:r>
      <w:bookmarkEnd w:id="0"/>
    </w:p>
    <w:p w:rsidR="001B263F" w:rsidRPr="001B263F" w:rsidRDefault="001B263F" w:rsidP="001B263F">
      <w:pPr>
        <w:rPr>
          <w:lang w:val="en-US"/>
        </w:rPr>
      </w:pPr>
    </w:p>
    <w:p w:rsidR="00BA3435" w:rsidRDefault="00D00B44" w:rsidP="00B52015">
      <w:pPr>
        <w:pStyle w:val="MAINBODY"/>
        <w:spacing w:line="480" w:lineRule="auto"/>
      </w:pPr>
      <w:r>
        <w:t>The detector is enclosed in a superconducting solenoid magnet.  From inside to outside, the detector includes Central Drift Chamber (CDC), Forward Drift Chamber (FDC), Time Of Flight detector (TOF), Barrel Calorimeter (BCAL) and Forward Calorimeter (FCAL).  These detectors are used to measure the momentum and the energy of the secondary particles.</w:t>
      </w:r>
    </w:p>
    <w:p w:rsidR="00BA3435" w:rsidRDefault="00D00B44" w:rsidP="00B52015">
      <w:pPr>
        <w:pStyle w:val="MAINBODY"/>
        <w:spacing w:line="480" w:lineRule="auto"/>
      </w:pPr>
      <w:r>
        <w:t>The signals from the detector are amplified,</w:t>
      </w:r>
      <w:r w:rsidR="001C5D1F">
        <w:t xml:space="preserve"> shaped, and/or</w:t>
      </w:r>
      <w:r>
        <w:t xml:space="preserve"> discriminated, and converted to digital data.  The</w:t>
      </w:r>
      <w:r w:rsidR="001C5D1F">
        <w:t xml:space="preserve"> digital</w:t>
      </w:r>
      <w:r>
        <w:t xml:space="preserve"> data are </w:t>
      </w:r>
      <w:r w:rsidR="00F039A9">
        <w:t xml:space="preserve">stored temporarily </w:t>
      </w:r>
      <w:r w:rsidR="00A876FA">
        <w:t>on the front end readout electronics (ADC modules or TDC modules) in the front end crates.  For the GlueX experiment, there are about sixty front end crates in the experiment hall sitting around the detector in the racks.</w:t>
      </w:r>
      <w:r w:rsidR="00F756C8">
        <w:t xml:space="preserve">  The VME Switched Serial (VXS) crates are used in</w:t>
      </w:r>
      <w:r w:rsidR="003C3078">
        <w:t xml:space="preserve"> the experiment.  The VXS crate</w:t>
      </w:r>
      <w:r w:rsidR="00F756C8">
        <w:t xml:space="preserve"> has the advantage of VME64x and dual star high speed switching.  Each </w:t>
      </w:r>
      <w:r w:rsidR="001C5D1F">
        <w:t xml:space="preserve">of the two </w:t>
      </w:r>
      <w:r w:rsidR="00F756C8">
        <w:t xml:space="preserve">switch slots </w:t>
      </w:r>
      <w:r w:rsidR="001C5D1F">
        <w:t>is</w:t>
      </w:r>
      <w:r w:rsidR="00F756C8">
        <w:t xml:space="preserve"> connected to the other slots (payload slots) using eight dedicated high speed differential signals.</w:t>
      </w:r>
    </w:p>
    <w:p w:rsidR="00E65D9B" w:rsidRDefault="00A442E2" w:rsidP="00B52015">
      <w:pPr>
        <w:pStyle w:val="MAINBODY"/>
        <w:spacing w:line="480" w:lineRule="auto"/>
      </w:pPr>
      <w:r>
        <w:t xml:space="preserve">The trigger </w:t>
      </w:r>
      <w:r w:rsidR="00CB2EAB">
        <w:t>system use</w:t>
      </w:r>
      <w:r w:rsidR="00A876FA">
        <w:t>s</w:t>
      </w:r>
      <w:r w:rsidR="00CB2EAB">
        <w:t xml:space="preserve"> the detector characters to select the interesting beam target interaction events</w:t>
      </w:r>
      <w:r w:rsidR="00BA3435">
        <w:t xml:space="preserve"> by primarily using the calorimeter </w:t>
      </w:r>
      <w:r w:rsidR="00C518DC">
        <w:t xml:space="preserve">(BCAL and FCAL) </w:t>
      </w:r>
      <w:r w:rsidR="00BA3435">
        <w:t>energy measurements</w:t>
      </w:r>
      <w:r w:rsidR="00CB2EAB">
        <w:t>.  The pipelined trigger will be formed every 4ns with trigger acceptance rate up to 200 kHz.  The final trigger signal (up to 200 kHz rate) will initiate th</w:t>
      </w:r>
      <w:r w:rsidR="001C5D1F">
        <w:t xml:space="preserve">e detector information readout by </w:t>
      </w:r>
      <w:r w:rsidR="00CB2EAB">
        <w:t>the Data Acquisition (DAQ) system.</w:t>
      </w:r>
    </w:p>
    <w:p w:rsidR="00E65D9B" w:rsidRDefault="00DF248F" w:rsidP="00B52015">
      <w:pPr>
        <w:pStyle w:val="MAINBODY"/>
        <w:spacing w:line="480" w:lineRule="auto"/>
      </w:pPr>
      <w:r>
        <w:t xml:space="preserve">The DAQ system is built on the </w:t>
      </w:r>
      <w:r w:rsidR="00BA3435">
        <w:t xml:space="preserve">VME </w:t>
      </w:r>
      <w:r>
        <w:t>ReadOut Controller (ROC).  The ROC uses the VME bus to readout the data from front end modules.  Because of the readout overhead, it is more efficient to group the data in block</w:t>
      </w:r>
      <w:r w:rsidR="00BA3435">
        <w:t>s</w:t>
      </w:r>
      <w:r>
        <w:t xml:space="preserve"> of triggers (events) for readout, especially at high trigger rates.  Each ROC has a fraction of the detector </w:t>
      </w:r>
      <w:r>
        <w:lastRenderedPageBreak/>
        <w:t>data.  The online computers will assemble the data from all ROCs, an</w:t>
      </w:r>
      <w:r w:rsidR="00C518DC">
        <w:t>d form event, which includes</w:t>
      </w:r>
      <w:r>
        <w:t xml:space="preserve"> the full detector data.  The DAQ can further select events, and save the data to permanent storage.</w:t>
      </w:r>
    </w:p>
    <w:p w:rsidR="00E65D9B" w:rsidRDefault="00E65D9B" w:rsidP="00B52015">
      <w:pPr>
        <w:pStyle w:val="MAINBODY"/>
        <w:spacing w:line="480" w:lineRule="auto"/>
      </w:pPr>
      <w:r>
        <w:t xml:space="preserve">Trigger/clock distribution </w:t>
      </w:r>
      <w:r w:rsidR="00BA3435">
        <w:t xml:space="preserve">system </w:t>
      </w:r>
      <w:r>
        <w:t xml:space="preserve">is the interface between the trigger </w:t>
      </w:r>
      <w:r w:rsidR="00DF248F">
        <w:t xml:space="preserve">system </w:t>
      </w:r>
      <w:r>
        <w:t>and DAQ</w:t>
      </w:r>
      <w:r w:rsidR="00DF248F">
        <w:t xml:space="preserve"> system.  </w:t>
      </w:r>
      <w:r w:rsidR="000769CD">
        <w:t xml:space="preserve">Figure 2 shows a diagram of the distribution scheme.  </w:t>
      </w:r>
      <w:r w:rsidR="00C518DC">
        <w:t>It distributes a</w:t>
      </w:r>
      <w:r w:rsidR="00DF248F">
        <w:t xml:space="preserve"> universal clock of frequency of 250 MHz</w:t>
      </w:r>
      <w:r w:rsidR="00BA3435">
        <w:t xml:space="preserve"> to pipeline the system</w:t>
      </w:r>
      <w:r w:rsidR="00DF248F">
        <w:t xml:space="preserve">.  </w:t>
      </w:r>
      <w:r w:rsidR="00486800">
        <w:t xml:space="preserve">It distributes the </w:t>
      </w:r>
      <w:r w:rsidR="00BA3435">
        <w:t xml:space="preserve">event selection result, </w:t>
      </w:r>
      <w:r w:rsidR="00486800">
        <w:t>trigger</w:t>
      </w:r>
      <w:r w:rsidR="00BA3435">
        <w:t xml:space="preserve">, </w:t>
      </w:r>
      <w:r w:rsidR="00486800">
        <w:t xml:space="preserve">from trigger system and </w:t>
      </w:r>
      <w:r w:rsidR="00BA3435">
        <w:t xml:space="preserve">initiate the detector information readout, </w:t>
      </w:r>
      <w:r w:rsidR="00486800">
        <w:t xml:space="preserve">the </w:t>
      </w:r>
      <w:r w:rsidR="00BA3435">
        <w:t>data acquisition (</w:t>
      </w:r>
      <w:r w:rsidR="00486800">
        <w:t>DAQ</w:t>
      </w:r>
      <w:r w:rsidR="00BA3435">
        <w:t>)</w:t>
      </w:r>
      <w:r w:rsidR="00486800">
        <w:t xml:space="preserve"> </w:t>
      </w:r>
      <w:r w:rsidR="00BA3435">
        <w:t>process</w:t>
      </w:r>
      <w:r w:rsidR="00486800">
        <w:t>.</w:t>
      </w:r>
      <w:r w:rsidR="00C518DC">
        <w:t xml:space="preserve">  It distribute a encoded SYNC signal for the system synchronization.  The front end electronics status is monitored by the distribution system, and make sure the smooth running of the experiment.</w:t>
      </w:r>
    </w:p>
    <w:p w:rsidR="004B6FB0" w:rsidRDefault="00894D55" w:rsidP="00A5398B">
      <w:pPr>
        <w:pStyle w:val="MAINBODY"/>
        <w:keepNext/>
        <w:spacing w:line="480" w:lineRule="auto"/>
      </w:pPr>
      <w:r>
        <w:rPr>
          <w:noProof/>
          <w:lang w:val="en-US"/>
        </w:rPr>
        <w:drawing>
          <wp:inline distT="0" distB="0" distL="0" distR="0">
            <wp:extent cx="5305220" cy="3166280"/>
            <wp:effectExtent l="19050" t="0" r="0" b="0"/>
            <wp:docPr id="6" name="Picture 5" descr="Base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etup.tif"/>
                    <pic:cNvPicPr/>
                  </pic:nvPicPr>
                  <pic:blipFill>
                    <a:blip r:embed="rId11" cstate="print"/>
                    <a:srcRect l="3000" t="5333" r="5000" b="26667"/>
                    <a:stretch>
                      <a:fillRect/>
                    </a:stretch>
                  </pic:blipFill>
                  <pic:spPr>
                    <a:xfrm>
                      <a:off x="0" y="0"/>
                      <a:ext cx="5305220" cy="3166280"/>
                    </a:xfrm>
                    <a:prstGeom prst="rect">
                      <a:avLst/>
                    </a:prstGeom>
                  </pic:spPr>
                </pic:pic>
              </a:graphicData>
            </a:graphic>
          </wp:inline>
        </w:drawing>
      </w:r>
    </w:p>
    <w:p w:rsidR="001B263F" w:rsidRDefault="004B6FB0" w:rsidP="004B6FB0">
      <w:pPr>
        <w:pStyle w:val="Caption"/>
        <w:jc w:val="both"/>
      </w:pPr>
      <w:bookmarkStart w:id="1" w:name="_Toc298402126"/>
      <w:r>
        <w:t xml:space="preserve">Figure </w:t>
      </w:r>
      <w:fldSimple w:instr=" SEQ Figure \* ARABIC ">
        <w:r w:rsidR="00CD6839">
          <w:rPr>
            <w:noProof/>
          </w:rPr>
          <w:t>2</w:t>
        </w:r>
      </w:fldSimple>
      <w:r>
        <w:t xml:space="preserve"> Diagram of the trigger and clock distribution system</w:t>
      </w:r>
      <w:bookmarkEnd w:id="1"/>
    </w:p>
    <w:p w:rsidR="004B6FB0" w:rsidRPr="004B6FB0" w:rsidRDefault="004B6FB0" w:rsidP="004B6FB0">
      <w:pPr>
        <w:rPr>
          <w:lang w:val="en-US"/>
        </w:rPr>
      </w:pPr>
    </w:p>
    <w:p w:rsidR="00D944D4" w:rsidRDefault="00486800" w:rsidP="00B52015">
      <w:pPr>
        <w:pStyle w:val="MAINBODY"/>
        <w:spacing w:line="480" w:lineRule="auto"/>
      </w:pPr>
      <w:r>
        <w:t xml:space="preserve">The main hardware of trigger and clock distribution system includes </w:t>
      </w:r>
      <w:r w:rsidR="00410D23">
        <w:t xml:space="preserve">a </w:t>
      </w:r>
      <w:r>
        <w:t xml:space="preserve">Trigger Supervisor (TS) printed circuit board, Signal Distribution (SD) printed circuit boards, Trigger Distribution (TD) printed circuit boards, Trigger Interface (TI) printed circuit boards, VXS crates and optical fibres.  </w:t>
      </w:r>
      <w:r w:rsidR="00410D23">
        <w:t xml:space="preserve">The TS, one SD and up to sixteen TD modules sit in the global trigger/clock distribution crate.  There are one TI and one SD in each front end </w:t>
      </w:r>
      <w:r w:rsidR="000769CD">
        <w:t>crate.  The t</w:t>
      </w:r>
      <w:r w:rsidR="00D944D4">
        <w:t xml:space="preserve">rigger signal is </w:t>
      </w:r>
      <w:r>
        <w:t>controlled by the TS, and the trigger word (trigger plus trigger information) i</w:t>
      </w:r>
      <w:r w:rsidR="00D944D4">
        <w:t>s</w:t>
      </w:r>
      <w:r>
        <w:t xml:space="preserve"> s</w:t>
      </w:r>
      <w:r w:rsidR="00D944D4">
        <w:t>erialized</w:t>
      </w:r>
      <w:r>
        <w:t xml:space="preserve"> by TS.  The serialized trigger word is fanned out by the SD and TD.</w:t>
      </w:r>
      <w:r w:rsidR="007F4DE8">
        <w:t xml:space="preserve">  The TI receives the serialized</w:t>
      </w:r>
      <w:r>
        <w:t xml:space="preserve"> trigger word and </w:t>
      </w:r>
      <w:r w:rsidR="00D944D4">
        <w:t>decode</w:t>
      </w:r>
      <w:r w:rsidR="007F4DE8">
        <w:t>s</w:t>
      </w:r>
      <w:r w:rsidR="00D944D4">
        <w:t xml:space="preserve"> these signals</w:t>
      </w:r>
      <w:r w:rsidR="007F4DE8">
        <w:t>, then send to the front end crate (fan</w:t>
      </w:r>
      <w:r w:rsidR="000769CD">
        <w:t>ned</w:t>
      </w:r>
      <w:r w:rsidR="007F4DE8">
        <w:t xml:space="preserve"> out </w:t>
      </w:r>
      <w:r w:rsidR="000769CD">
        <w:t xml:space="preserve">through </w:t>
      </w:r>
      <w:r w:rsidR="007F4DE8">
        <w:t>SD), and initiate the DAQ (ROC readout).</w:t>
      </w:r>
    </w:p>
    <w:p w:rsidR="00C518DC" w:rsidRDefault="00B17C5D" w:rsidP="00B52015">
      <w:pPr>
        <w:pStyle w:val="MAINBODY"/>
        <w:spacing w:line="480" w:lineRule="auto"/>
      </w:pPr>
      <w:r>
        <w:lastRenderedPageBreak/>
        <w:t xml:space="preserve">The electronics boards are custom designed and produced </w:t>
      </w:r>
      <w:r w:rsidR="00F756C8">
        <w:t>for the 12 GeV upgrade.  Field Programmable Gate Arrays (FPGA) are used for trigger</w:t>
      </w:r>
      <w:r w:rsidR="00771641">
        <w:t>/clock/sync generation, control and decoding</w:t>
      </w:r>
      <w:r w:rsidR="00F756C8">
        <w:t xml:space="preserve">.   Optical Fibres </w:t>
      </w:r>
      <w:r w:rsidR="00771641">
        <w:t xml:space="preserve">and high speed differential backplane connections </w:t>
      </w:r>
      <w:r w:rsidR="00F756C8">
        <w:t xml:space="preserve">are used to transmit signals at high speed and long distance.  </w:t>
      </w:r>
    </w:p>
    <w:p w:rsidR="00727AFC" w:rsidRDefault="00727AFC" w:rsidP="00B52015">
      <w:pPr>
        <w:pStyle w:val="MAINBODY"/>
        <w:spacing w:line="480" w:lineRule="auto"/>
      </w:pPr>
      <w:r>
        <w:t>The trigger and clock distribution hardware will be discussed in next section.  The system synchronization will be discussed in the third section.  And the current status will be shortly discussed in the last section.</w:t>
      </w:r>
    </w:p>
    <w:p w:rsidR="00D944D4" w:rsidRDefault="00D944D4" w:rsidP="00B52015">
      <w:pPr>
        <w:pStyle w:val="MAINBODY"/>
        <w:spacing w:line="480" w:lineRule="auto"/>
      </w:pPr>
    </w:p>
    <w:p w:rsidR="00602002" w:rsidRDefault="00D944D4" w:rsidP="00B52015">
      <w:pPr>
        <w:pStyle w:val="MAINHEADINGS"/>
        <w:spacing w:line="480" w:lineRule="auto"/>
        <w:rPr>
          <w:color w:val="000000"/>
        </w:rPr>
      </w:pPr>
      <w:r>
        <w:rPr>
          <w:color w:val="000000"/>
        </w:rPr>
        <w:t>Hardware discription</w:t>
      </w:r>
    </w:p>
    <w:p w:rsidR="00602002" w:rsidRDefault="00D944D4" w:rsidP="00B52015">
      <w:pPr>
        <w:pStyle w:val="Subheadings"/>
        <w:spacing w:line="480" w:lineRule="auto"/>
      </w:pPr>
      <w:r>
        <w:t>Trigger Supervisor</w:t>
      </w:r>
      <w:r w:rsidR="00602002">
        <w:t>(</w:t>
      </w:r>
      <w:r>
        <w:t>TS</w:t>
      </w:r>
      <w:r w:rsidR="00602002">
        <w:t>)</w:t>
      </w:r>
    </w:p>
    <w:p w:rsidR="00602002" w:rsidRDefault="00D944D4" w:rsidP="00B52015">
      <w:pPr>
        <w:pStyle w:val="Sub-subheadings"/>
        <w:spacing w:line="480" w:lineRule="auto"/>
      </w:pPr>
      <w:r>
        <w:t>TS</w:t>
      </w:r>
      <w:r w:rsidR="00602002">
        <w:t xml:space="preserve"> Overview</w:t>
      </w:r>
    </w:p>
    <w:p w:rsidR="00D944D4" w:rsidRDefault="00727AFC" w:rsidP="00B52015">
      <w:pPr>
        <w:pStyle w:val="MAINBODY"/>
        <w:spacing w:line="480" w:lineRule="auto"/>
      </w:pPr>
      <w:r>
        <w:t xml:space="preserve">TS is the very top PCB module in the trigger and clock distribution system.  The TS is </w:t>
      </w:r>
      <w:r w:rsidR="007314F4">
        <w:t xml:space="preserve">hardware decision making module for the Data Acquisition (DAQ) system.  </w:t>
      </w:r>
      <w:r w:rsidR="00DD5C9F">
        <w:t xml:space="preserve">It accepts trigger decisions from the Global Trigger Processor(GTP), and it </w:t>
      </w:r>
      <w:r>
        <w:t>further process</w:t>
      </w:r>
      <w:r w:rsidR="007314F4">
        <w:t>es</w:t>
      </w:r>
      <w:r w:rsidR="00377C55">
        <w:t xml:space="preserve"> the trigger signals </w:t>
      </w:r>
      <w:r>
        <w:t>and sen</w:t>
      </w:r>
      <w:r w:rsidR="007314F4">
        <w:t>ds the trigger signals down to the Trigger Interface (TI) modules through Signal Distribution (SD) board</w:t>
      </w:r>
      <w:r w:rsidR="00377C55">
        <w:t xml:space="preserve"> and the Trigger Distribution (T</w:t>
      </w:r>
      <w:r w:rsidR="007314F4">
        <w:t>D) modules to initiate data acquisition process.</w:t>
      </w:r>
    </w:p>
    <w:p w:rsidR="00256CB3" w:rsidRDefault="00D944D4" w:rsidP="00B52015">
      <w:pPr>
        <w:pStyle w:val="MAINBODY"/>
        <w:spacing w:line="480" w:lineRule="auto"/>
      </w:pPr>
      <w:r>
        <w:t>TS suppl</w:t>
      </w:r>
      <w:r w:rsidR="007314F4">
        <w:t xml:space="preserve">ies a 250 MHz system </w:t>
      </w:r>
      <w:r>
        <w:t>clock</w:t>
      </w:r>
      <w:r w:rsidR="007314F4">
        <w:t xml:space="preserve"> for trigger and data acquisition.  The trigger and the front end </w:t>
      </w:r>
      <w:r w:rsidR="00256CB3">
        <w:t xml:space="preserve">data acquisition </w:t>
      </w:r>
      <w:r w:rsidR="007314F4">
        <w:t>modules are pipelined on the 250 MHz clock</w:t>
      </w:r>
      <w:r w:rsidR="00256CB3">
        <w:t>.  The system is almost dead time free and fits the character of continues beam of CEBAF.</w:t>
      </w:r>
    </w:p>
    <w:p w:rsidR="003052B7" w:rsidRDefault="003052B7" w:rsidP="003052B7">
      <w:pPr>
        <w:pStyle w:val="MAINBODY"/>
        <w:spacing w:line="480" w:lineRule="auto"/>
      </w:pPr>
      <w:r>
        <w:t xml:space="preserve">The </w:t>
      </w:r>
      <w:r w:rsidR="00D944D4">
        <w:t>TS can also accept arbitrary external inputs and supply monitoring</w:t>
      </w:r>
      <w:r>
        <w:t xml:space="preserve"> </w:t>
      </w:r>
      <w:r w:rsidR="00DF7E6B">
        <w:t>outputs for the added flexibility</w:t>
      </w:r>
      <w:r>
        <w:t xml:space="preserve"> and te</w:t>
      </w:r>
      <w:r w:rsidR="00377C55">
        <w:t>sts of the DAQ system.  Figure 3</w:t>
      </w:r>
      <w:r>
        <w:t xml:space="preserve"> is a picture of the TS printed circuit board (PCB).  </w:t>
      </w:r>
    </w:p>
    <w:p w:rsidR="002E3BFA" w:rsidRDefault="00864687" w:rsidP="002E3BFA">
      <w:pPr>
        <w:pStyle w:val="MAINBODY"/>
        <w:keepNext/>
        <w:spacing w:line="480" w:lineRule="auto"/>
      </w:pPr>
      <w:r>
        <w:rPr>
          <w:noProof/>
          <w:lang w:val="en-US"/>
        </w:rPr>
        <w:lastRenderedPageBreak/>
        <w:drawing>
          <wp:inline distT="0" distB="0" distL="0" distR="0">
            <wp:extent cx="5280660" cy="3771907"/>
            <wp:effectExtent l="19050" t="0" r="0" b="0"/>
            <wp:docPr id="1" name="Picture 0" descr="TS_Draw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Drawing.tif"/>
                    <pic:cNvPicPr/>
                  </pic:nvPicPr>
                  <pic:blipFill>
                    <a:blip r:embed="rId12" cstate="print"/>
                    <a:srcRect l="6364" t="22353" r="23636" b="12941"/>
                    <a:stretch>
                      <a:fillRect/>
                    </a:stretch>
                  </pic:blipFill>
                  <pic:spPr>
                    <a:xfrm>
                      <a:off x="0" y="0"/>
                      <a:ext cx="5280660" cy="3771907"/>
                    </a:xfrm>
                    <a:prstGeom prst="rect">
                      <a:avLst/>
                    </a:prstGeom>
                  </pic:spPr>
                </pic:pic>
              </a:graphicData>
            </a:graphic>
          </wp:inline>
        </w:drawing>
      </w:r>
    </w:p>
    <w:p w:rsidR="00D944D4" w:rsidRDefault="002E3BFA" w:rsidP="002E3BFA">
      <w:pPr>
        <w:pStyle w:val="Caption"/>
        <w:jc w:val="both"/>
      </w:pPr>
      <w:bookmarkStart w:id="2" w:name="_Toc298402127"/>
      <w:r>
        <w:t xml:space="preserve">Figure </w:t>
      </w:r>
      <w:fldSimple w:instr=" SEQ Figure \* ARABIC ">
        <w:r w:rsidR="00CD6839">
          <w:rPr>
            <w:noProof/>
          </w:rPr>
          <w:t>3</w:t>
        </w:r>
      </w:fldSimple>
      <w:r>
        <w:t xml:space="preserve"> picture of Trigger Supervisor (TS) printed circuit board</w:t>
      </w:r>
      <w:bookmarkEnd w:id="2"/>
    </w:p>
    <w:p w:rsidR="002E3BFA" w:rsidRPr="002E3BFA" w:rsidRDefault="002E3BFA" w:rsidP="002E3BFA">
      <w:pPr>
        <w:rPr>
          <w:lang w:val="en-US"/>
        </w:rPr>
      </w:pPr>
    </w:p>
    <w:p w:rsidR="00602002" w:rsidRDefault="003052B7" w:rsidP="00B52015">
      <w:pPr>
        <w:pStyle w:val="Sub-subheadings"/>
        <w:spacing w:line="480" w:lineRule="auto"/>
      </w:pPr>
      <w:r>
        <w:t>TS</w:t>
      </w:r>
      <w:r w:rsidR="00602002">
        <w:t xml:space="preserve"> Design</w:t>
      </w:r>
    </w:p>
    <w:p w:rsidR="000F196A" w:rsidRDefault="00A9572B" w:rsidP="00B52015">
      <w:pPr>
        <w:pStyle w:val="MAINBODY"/>
        <w:spacing w:line="480" w:lineRule="auto"/>
      </w:pPr>
      <w:r>
        <w:t xml:space="preserve">TS is designed as </w:t>
      </w:r>
      <w:r w:rsidR="00C036C5">
        <w:t xml:space="preserve">a </w:t>
      </w:r>
      <w:r>
        <w:t>VXS payload slot #18 board with a physical size of 6Ux160mm.  It receives up to 32 trigger signals from the G</w:t>
      </w:r>
      <w:r w:rsidR="00377C55">
        <w:t>TP</w:t>
      </w:r>
      <w:r>
        <w:t xml:space="preserve"> via the </w:t>
      </w:r>
      <w:r w:rsidR="00C036C5">
        <w:t xml:space="preserve">VME </w:t>
      </w:r>
      <w:r>
        <w:t xml:space="preserve">P2 </w:t>
      </w:r>
      <w:r w:rsidR="00C036C5">
        <w:t xml:space="preserve">connector </w:t>
      </w:r>
      <w:r>
        <w:t xml:space="preserve">user defined pins via a </w:t>
      </w:r>
      <w:r w:rsidR="00377C55">
        <w:t>backplane</w:t>
      </w:r>
      <w:r>
        <w:t xml:space="preserve"> IO card.  </w:t>
      </w:r>
      <w:r w:rsidR="00377C55">
        <w:t xml:space="preserve">The signals are level shifted from LVPECL to LVDS by Micrel SY58607 differential receivers.  The receivers also serve as FPGA input protection and isolation.  </w:t>
      </w:r>
      <w:r w:rsidR="00C036C5">
        <w:t>The TS</w:t>
      </w:r>
      <w:r w:rsidR="009E1F15">
        <w:t xml:space="preserve"> can also receive four groups (could be subdetectors) of external inputs with eight triggers per group</w:t>
      </w:r>
      <w:r w:rsidR="00377C55">
        <w:t xml:space="preserve"> through </w:t>
      </w:r>
      <w:r w:rsidR="00C036C5">
        <w:t>its</w:t>
      </w:r>
      <w:r w:rsidR="00377C55">
        <w:t xml:space="preserve"> front panel</w:t>
      </w:r>
      <w:r w:rsidR="009E1F15">
        <w:t xml:space="preserve">.  </w:t>
      </w:r>
      <w:r w:rsidR="00377C55">
        <w:t xml:space="preserve">These groups of </w:t>
      </w:r>
      <w:r w:rsidR="00C036C5">
        <w:t>external input signals are received by</w:t>
      </w:r>
      <w:r w:rsidR="00377C55">
        <w:t xml:space="preserve"> Maxim </w:t>
      </w:r>
      <w:r w:rsidR="000F196A">
        <w:t>MAX8602</w:t>
      </w:r>
      <w:r w:rsidR="00C036C5">
        <w:t xml:space="preserve"> discriminator chips</w:t>
      </w:r>
      <w:r w:rsidR="000F196A">
        <w:t>, so the input</w:t>
      </w:r>
      <w:r w:rsidR="00C036C5">
        <w:t>s are</w:t>
      </w:r>
      <w:r w:rsidR="000F196A">
        <w:t xml:space="preserve"> compatible with almost any differential signal levels.  </w:t>
      </w:r>
      <w:r w:rsidR="009E1F15">
        <w:t>To be compatible with earlier experiment setup and facilitate the DAQ test, there are sixteen generic inputs (co</w:t>
      </w:r>
      <w:r w:rsidR="000F196A">
        <w:t>uld be trigger, busy or inhibit,</w:t>
      </w:r>
      <w:r w:rsidR="009E1F15">
        <w:t xml:space="preserve"> etc), and twenty-two generic outputs for monitoring.  There are also 24 outputs go</w:t>
      </w:r>
      <w:r w:rsidR="00C036C5">
        <w:t>ing</w:t>
      </w:r>
      <w:r w:rsidR="009E1F15">
        <w:t xml:space="preserve"> directly to the </w:t>
      </w:r>
      <w:r w:rsidR="000F196A">
        <w:t xml:space="preserve">six quad-pack </w:t>
      </w:r>
      <w:r w:rsidR="009E1F15">
        <w:t>LEDs.</w:t>
      </w:r>
      <w:r w:rsidR="00D84A89">
        <w:t xml:space="preserve">  </w:t>
      </w:r>
      <w:r w:rsidR="000F196A">
        <w:t xml:space="preserve">SMA connectors are mounted on the front panel for </w:t>
      </w:r>
      <w:r w:rsidR="00C036C5">
        <w:t xml:space="preserve">the optional </w:t>
      </w:r>
      <w:r w:rsidR="000F196A">
        <w:t>clock input and output.</w:t>
      </w:r>
    </w:p>
    <w:p w:rsidR="00D84A89" w:rsidRDefault="00B70F24" w:rsidP="00B52015">
      <w:pPr>
        <w:pStyle w:val="MAINBODY"/>
        <w:spacing w:line="480" w:lineRule="auto"/>
      </w:pPr>
      <w:r>
        <w:t>As a VXS payload card, it is compatible with VME64x.  It has VME A24D32 registers for board setup and monitori</w:t>
      </w:r>
      <w:r w:rsidR="006C5552">
        <w:t xml:space="preserve">ng.  It supports A32D32, block and </w:t>
      </w:r>
      <w:r>
        <w:t>2</w:t>
      </w:r>
      <w:r w:rsidR="006C5552">
        <w:t>ESST</w:t>
      </w:r>
      <w:r>
        <w:t xml:space="preserve"> data readout.  It can even be configured as </w:t>
      </w:r>
      <w:r w:rsidR="006C5552">
        <w:t xml:space="preserve">a </w:t>
      </w:r>
      <w:r>
        <w:t>VME master board.</w:t>
      </w:r>
    </w:p>
    <w:p w:rsidR="00B70F24" w:rsidRDefault="00B70F24" w:rsidP="00B52015">
      <w:pPr>
        <w:pStyle w:val="MAINBODY"/>
        <w:spacing w:line="480" w:lineRule="auto"/>
      </w:pPr>
      <w:r>
        <w:lastRenderedPageBreak/>
        <w:t>The trigger, clock and synchroniz</w:t>
      </w:r>
      <w:r w:rsidR="006C5552">
        <w:t>ation signals are transmitted via</w:t>
      </w:r>
      <w:r>
        <w:t xml:space="preserve"> the VXS P0 connector using the high speed differential paired signals</w:t>
      </w:r>
      <w:r w:rsidR="00C27D77">
        <w:t xml:space="preserve"> to the SD in the global trigger distribution crate for fan out</w:t>
      </w:r>
      <w:r>
        <w:t xml:space="preserve">.  </w:t>
      </w:r>
      <w:r w:rsidR="00C27D77">
        <w:t>Figure 4</w:t>
      </w:r>
      <w:r w:rsidR="008757B1">
        <w:t xml:space="preserve"> is the functional diagram of the TS.  </w:t>
      </w:r>
    </w:p>
    <w:p w:rsidR="002E3BFA" w:rsidRDefault="00FD46BD" w:rsidP="002E3BFA">
      <w:pPr>
        <w:pStyle w:val="MAINBODY"/>
        <w:keepNext/>
        <w:spacing w:line="480" w:lineRule="auto"/>
      </w:pPr>
      <w:r>
        <w:rPr>
          <w:noProof/>
          <w:lang w:val="en-US"/>
        </w:rPr>
        <w:drawing>
          <wp:inline distT="0" distB="0" distL="0" distR="0">
            <wp:extent cx="5346264" cy="4077838"/>
            <wp:effectExtent l="19050" t="0" r="6786" b="0"/>
            <wp:docPr id="10" name="Picture 9" descr="TS_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diagram.tif"/>
                    <pic:cNvPicPr/>
                  </pic:nvPicPr>
                  <pic:blipFill>
                    <a:blip r:embed="rId13" cstate="print"/>
                    <a:srcRect l="4000" t="4000" r="3000" b="1333"/>
                    <a:stretch>
                      <a:fillRect/>
                    </a:stretch>
                  </pic:blipFill>
                  <pic:spPr>
                    <a:xfrm>
                      <a:off x="0" y="0"/>
                      <a:ext cx="5346264" cy="4077838"/>
                    </a:xfrm>
                    <a:prstGeom prst="rect">
                      <a:avLst/>
                    </a:prstGeom>
                  </pic:spPr>
                </pic:pic>
              </a:graphicData>
            </a:graphic>
          </wp:inline>
        </w:drawing>
      </w:r>
    </w:p>
    <w:p w:rsidR="00B70F24" w:rsidRDefault="002E3BFA" w:rsidP="002E3BFA">
      <w:pPr>
        <w:pStyle w:val="Caption"/>
        <w:jc w:val="both"/>
      </w:pPr>
      <w:bookmarkStart w:id="3" w:name="_Toc298402128"/>
      <w:r>
        <w:t xml:space="preserve">Figure </w:t>
      </w:r>
      <w:fldSimple w:instr=" SEQ Figure \* ARABIC ">
        <w:r w:rsidR="00CD6839">
          <w:rPr>
            <w:noProof/>
          </w:rPr>
          <w:t>4</w:t>
        </w:r>
      </w:fldSimple>
      <w:r>
        <w:t xml:space="preserve"> TS functional diagram</w:t>
      </w:r>
      <w:bookmarkEnd w:id="3"/>
    </w:p>
    <w:p w:rsidR="002E3BFA" w:rsidRPr="002E3BFA" w:rsidRDefault="002E3BFA" w:rsidP="002E3BFA">
      <w:pPr>
        <w:rPr>
          <w:lang w:val="en-US"/>
        </w:rPr>
      </w:pPr>
    </w:p>
    <w:p w:rsidR="00D944D4" w:rsidRDefault="006C5552" w:rsidP="00B52015">
      <w:pPr>
        <w:pStyle w:val="MAINBODY"/>
        <w:spacing w:line="480" w:lineRule="auto"/>
      </w:pPr>
      <w:r>
        <w:t>The TS can pre-scale and</w:t>
      </w:r>
      <w:r w:rsidR="00D756EA">
        <w:t xml:space="preserve"> inhibit the trigger input</w:t>
      </w:r>
      <w:r>
        <w:t>s</w:t>
      </w:r>
      <w:r w:rsidR="00D756EA">
        <w:t xml:space="preserve"> to synchronize the DAQ.  It can also generate triggers by VME command for system tests.  The trigger and trigger information are combined into a 16-bit </w:t>
      </w:r>
      <w:r>
        <w:t xml:space="preserve">trigger </w:t>
      </w:r>
      <w:r w:rsidR="00D756EA">
        <w:t>word.  This</w:t>
      </w:r>
      <w:r>
        <w:t xml:space="preserve"> trigger</w:t>
      </w:r>
      <w:r w:rsidR="00D756EA">
        <w:t xml:space="preserve"> word is serialized and sent to the SD in the trigger/clock distribution crate.  This trigger word is fanned out by SD and TD, and received and decoded by the TI.</w:t>
      </w:r>
      <w:r w:rsidR="00AD0DBE">
        <w:t xml:space="preserve">  </w:t>
      </w:r>
      <w:r w:rsidR="00C27D77">
        <w:t xml:space="preserve">The 16-bit trigger words are serialized by the FPGA’s built in Multi-gigabit Transceivers (MGT) at 62.5MHz, that is, </w:t>
      </w:r>
      <w:r w:rsidR="00AD0DBE">
        <w:t>every 16ns</w:t>
      </w:r>
      <w:r w:rsidR="00C27D77">
        <w:t>.  T</w:t>
      </w:r>
      <w:r w:rsidR="00AD0DBE">
        <w:t xml:space="preserve">he trigger </w:t>
      </w:r>
      <w:r>
        <w:t xml:space="preserve">is generated on 250MHz clock and </w:t>
      </w:r>
      <w:r w:rsidR="00AD0DBE">
        <w:t>has a time resolution of 4ns.  The trigger time information is sent as part of the trigger word.  Table 1 is the trigger word definition:</w:t>
      </w:r>
    </w:p>
    <w:p w:rsidR="00AD0DBE" w:rsidRDefault="00AD0DBE" w:rsidP="00AD0DBE">
      <w:pPr>
        <w:pStyle w:val="Caption"/>
        <w:keepNext/>
      </w:pPr>
      <w:r>
        <w:t xml:space="preserve">Table </w:t>
      </w:r>
      <w:fldSimple w:instr=" SEQ Table \* ARABIC ">
        <w:r w:rsidR="00CD6839">
          <w:rPr>
            <w:noProof/>
          </w:rPr>
          <w:t>1</w:t>
        </w:r>
      </w:fldSimple>
      <w:r w:rsidR="00044E15">
        <w:t xml:space="preserve"> Trigger word defini</w:t>
      </w:r>
      <w:r>
        <w:t>tion</w:t>
      </w:r>
    </w:p>
    <w:p w:rsidR="00AD0DBE" w:rsidRPr="00AD0DBE" w:rsidRDefault="00AD0DBE" w:rsidP="00AD0DBE">
      <w:pPr>
        <w:rPr>
          <w:lang w:val="en-US"/>
        </w:rPr>
      </w:pPr>
    </w:p>
    <w:tbl>
      <w:tblPr>
        <w:tblStyle w:val="TableGrid"/>
        <w:tblW w:w="0" w:type="auto"/>
        <w:tblLook w:val="04A0"/>
      </w:tblPr>
      <w:tblGrid>
        <w:gridCol w:w="738"/>
        <w:gridCol w:w="720"/>
        <w:gridCol w:w="720"/>
        <w:gridCol w:w="2970"/>
        <w:gridCol w:w="1260"/>
        <w:gridCol w:w="2834"/>
      </w:tblGrid>
      <w:tr w:rsidR="00AD0DBE" w:rsidTr="003C387E">
        <w:tc>
          <w:tcPr>
            <w:tcW w:w="738" w:type="dxa"/>
          </w:tcPr>
          <w:p w:rsidR="00AD0DBE" w:rsidRDefault="00AD0DBE" w:rsidP="00B52015">
            <w:pPr>
              <w:pStyle w:val="MAINBODY"/>
              <w:spacing w:line="480" w:lineRule="auto"/>
              <w:ind w:firstLine="0"/>
            </w:pPr>
            <w:r>
              <w:t>Bit 15</w:t>
            </w:r>
          </w:p>
        </w:tc>
        <w:tc>
          <w:tcPr>
            <w:tcW w:w="720" w:type="dxa"/>
          </w:tcPr>
          <w:p w:rsidR="00AD0DBE" w:rsidRDefault="00AD0DBE" w:rsidP="00B52015">
            <w:pPr>
              <w:pStyle w:val="MAINBODY"/>
              <w:spacing w:line="480" w:lineRule="auto"/>
              <w:ind w:firstLine="0"/>
            </w:pPr>
            <w:r>
              <w:t>Bit 14</w:t>
            </w:r>
          </w:p>
        </w:tc>
        <w:tc>
          <w:tcPr>
            <w:tcW w:w="720" w:type="dxa"/>
          </w:tcPr>
          <w:p w:rsidR="00AD0DBE" w:rsidRDefault="00AD0DBE" w:rsidP="00B52015">
            <w:pPr>
              <w:pStyle w:val="MAINBODY"/>
              <w:spacing w:line="480" w:lineRule="auto"/>
              <w:ind w:firstLine="0"/>
            </w:pPr>
            <w:r>
              <w:t>Bit 13</w:t>
            </w:r>
          </w:p>
        </w:tc>
        <w:tc>
          <w:tcPr>
            <w:tcW w:w="2970" w:type="dxa"/>
          </w:tcPr>
          <w:p w:rsidR="00AD0DBE" w:rsidRDefault="00AD0DBE" w:rsidP="00B52015">
            <w:pPr>
              <w:pStyle w:val="MAINBODY"/>
              <w:spacing w:line="480" w:lineRule="auto"/>
              <w:ind w:firstLine="0"/>
            </w:pPr>
            <w:r>
              <w:t>Bit12-11</w:t>
            </w:r>
          </w:p>
        </w:tc>
        <w:tc>
          <w:tcPr>
            <w:tcW w:w="1260" w:type="dxa"/>
          </w:tcPr>
          <w:p w:rsidR="00AD0DBE" w:rsidRDefault="00AD0DBE" w:rsidP="00B52015">
            <w:pPr>
              <w:pStyle w:val="MAINBODY"/>
              <w:spacing w:line="480" w:lineRule="auto"/>
              <w:ind w:firstLine="0"/>
            </w:pPr>
            <w:r>
              <w:t>Bit10-0</w:t>
            </w:r>
          </w:p>
        </w:tc>
        <w:tc>
          <w:tcPr>
            <w:tcW w:w="2834" w:type="dxa"/>
          </w:tcPr>
          <w:p w:rsidR="00AD0DBE" w:rsidRDefault="00AD0DBE" w:rsidP="00B52015">
            <w:pPr>
              <w:pStyle w:val="MAINBODY"/>
              <w:spacing w:line="480" w:lineRule="auto"/>
              <w:ind w:firstLine="0"/>
            </w:pPr>
            <w:r>
              <w:t>comment</w:t>
            </w:r>
          </w:p>
        </w:tc>
      </w:tr>
      <w:tr w:rsidR="00AD0DBE" w:rsidTr="003C387E">
        <w:tc>
          <w:tcPr>
            <w:tcW w:w="738" w:type="dxa"/>
          </w:tcPr>
          <w:p w:rsidR="00AD0DBE" w:rsidRDefault="00AD0DBE" w:rsidP="00B52015">
            <w:pPr>
              <w:pStyle w:val="MAINBODY"/>
              <w:spacing w:line="480" w:lineRule="auto"/>
              <w:ind w:firstLine="0"/>
            </w:pPr>
            <w:r>
              <w:t>parity</w:t>
            </w:r>
          </w:p>
        </w:tc>
        <w:tc>
          <w:tcPr>
            <w:tcW w:w="720" w:type="dxa"/>
          </w:tcPr>
          <w:p w:rsidR="00AD0DBE" w:rsidRDefault="00AD0DBE" w:rsidP="00B52015">
            <w:pPr>
              <w:pStyle w:val="MAINBODY"/>
              <w:spacing w:line="480" w:lineRule="auto"/>
              <w:ind w:firstLine="0"/>
            </w:pPr>
            <w:r>
              <w:t>1</w:t>
            </w:r>
          </w:p>
        </w:tc>
        <w:tc>
          <w:tcPr>
            <w:tcW w:w="720" w:type="dxa"/>
          </w:tcPr>
          <w:p w:rsidR="00AD0DBE" w:rsidRDefault="00AD0DBE" w:rsidP="00B52015">
            <w:pPr>
              <w:pStyle w:val="MAINBODY"/>
              <w:spacing w:line="480" w:lineRule="auto"/>
              <w:ind w:firstLine="0"/>
            </w:pPr>
            <w:r>
              <w:t>0</w:t>
            </w:r>
          </w:p>
        </w:tc>
        <w:tc>
          <w:tcPr>
            <w:tcW w:w="2970" w:type="dxa"/>
          </w:tcPr>
          <w:p w:rsidR="00AD0DBE" w:rsidRDefault="00AD0DBE" w:rsidP="00B52015">
            <w:pPr>
              <w:pStyle w:val="MAINBODY"/>
              <w:spacing w:line="480" w:lineRule="auto"/>
              <w:ind w:firstLine="0"/>
            </w:pPr>
            <w:r>
              <w:t>Trigger time in the 16ns window</w:t>
            </w:r>
          </w:p>
        </w:tc>
        <w:tc>
          <w:tcPr>
            <w:tcW w:w="1260" w:type="dxa"/>
          </w:tcPr>
          <w:p w:rsidR="00AD0DBE" w:rsidRDefault="00AD0DBE" w:rsidP="00B52015">
            <w:pPr>
              <w:pStyle w:val="MAINBODY"/>
              <w:spacing w:line="480" w:lineRule="auto"/>
              <w:ind w:firstLine="0"/>
            </w:pPr>
            <w:r>
              <w:t>Trigger type</w:t>
            </w:r>
          </w:p>
        </w:tc>
        <w:tc>
          <w:tcPr>
            <w:tcW w:w="2834" w:type="dxa"/>
          </w:tcPr>
          <w:p w:rsidR="00AD0DBE" w:rsidRDefault="00AD0DBE" w:rsidP="00B52015">
            <w:pPr>
              <w:pStyle w:val="MAINBODY"/>
              <w:spacing w:line="480" w:lineRule="auto"/>
              <w:ind w:firstLine="0"/>
            </w:pPr>
            <w:r>
              <w:t>triggered</w:t>
            </w:r>
          </w:p>
        </w:tc>
      </w:tr>
      <w:tr w:rsidR="00AD0DBE" w:rsidTr="003C387E">
        <w:tc>
          <w:tcPr>
            <w:tcW w:w="738" w:type="dxa"/>
          </w:tcPr>
          <w:p w:rsidR="00AD0DBE" w:rsidRDefault="00AD0DBE" w:rsidP="00B52015">
            <w:pPr>
              <w:pStyle w:val="MAINBODY"/>
              <w:spacing w:line="480" w:lineRule="auto"/>
              <w:ind w:firstLine="0"/>
            </w:pPr>
            <w:r>
              <w:lastRenderedPageBreak/>
              <w:t>parity</w:t>
            </w:r>
          </w:p>
        </w:tc>
        <w:tc>
          <w:tcPr>
            <w:tcW w:w="720" w:type="dxa"/>
          </w:tcPr>
          <w:p w:rsidR="00AD0DBE" w:rsidRDefault="00AD0DBE" w:rsidP="00B52015">
            <w:pPr>
              <w:pStyle w:val="MAINBODY"/>
              <w:spacing w:line="480" w:lineRule="auto"/>
              <w:ind w:firstLine="0"/>
            </w:pPr>
            <w:r>
              <w:t>0</w:t>
            </w:r>
          </w:p>
        </w:tc>
        <w:tc>
          <w:tcPr>
            <w:tcW w:w="720" w:type="dxa"/>
          </w:tcPr>
          <w:p w:rsidR="00AD0DBE" w:rsidRDefault="00AD0DBE" w:rsidP="00B52015">
            <w:pPr>
              <w:pStyle w:val="MAINBODY"/>
              <w:spacing w:line="480" w:lineRule="auto"/>
              <w:ind w:firstLine="0"/>
            </w:pPr>
            <w:r>
              <w:t>1</w:t>
            </w:r>
          </w:p>
        </w:tc>
        <w:tc>
          <w:tcPr>
            <w:tcW w:w="4230" w:type="dxa"/>
            <w:gridSpan w:val="2"/>
          </w:tcPr>
          <w:p w:rsidR="00AD0DBE" w:rsidRDefault="00AD0DBE" w:rsidP="00B52015">
            <w:pPr>
              <w:pStyle w:val="MAINBODY"/>
              <w:spacing w:line="480" w:lineRule="auto"/>
              <w:ind w:firstLine="0"/>
            </w:pPr>
            <w:r>
              <w:t>Trigger command</w:t>
            </w:r>
          </w:p>
        </w:tc>
        <w:tc>
          <w:tcPr>
            <w:tcW w:w="2834" w:type="dxa"/>
          </w:tcPr>
          <w:p w:rsidR="00AD0DBE" w:rsidRDefault="00AD0DBE" w:rsidP="00B52015">
            <w:pPr>
              <w:pStyle w:val="MAINBODY"/>
              <w:spacing w:line="480" w:lineRule="auto"/>
              <w:ind w:firstLine="0"/>
            </w:pPr>
            <w:r>
              <w:t>VME command</w:t>
            </w:r>
          </w:p>
        </w:tc>
      </w:tr>
      <w:tr w:rsidR="00AD0DBE" w:rsidTr="003C387E">
        <w:tc>
          <w:tcPr>
            <w:tcW w:w="738" w:type="dxa"/>
          </w:tcPr>
          <w:p w:rsidR="00AD0DBE" w:rsidRDefault="00AD0DBE" w:rsidP="00B52015">
            <w:pPr>
              <w:pStyle w:val="MAINBODY"/>
              <w:spacing w:line="480" w:lineRule="auto"/>
              <w:ind w:firstLine="0"/>
            </w:pPr>
            <w:r>
              <w:t>parity</w:t>
            </w:r>
          </w:p>
        </w:tc>
        <w:tc>
          <w:tcPr>
            <w:tcW w:w="720" w:type="dxa"/>
          </w:tcPr>
          <w:p w:rsidR="00AD0DBE" w:rsidRDefault="00AD0DBE" w:rsidP="00B52015">
            <w:pPr>
              <w:pStyle w:val="MAINBODY"/>
              <w:spacing w:line="480" w:lineRule="auto"/>
              <w:ind w:firstLine="0"/>
            </w:pPr>
            <w:r>
              <w:t>0</w:t>
            </w:r>
          </w:p>
        </w:tc>
        <w:tc>
          <w:tcPr>
            <w:tcW w:w="720" w:type="dxa"/>
          </w:tcPr>
          <w:p w:rsidR="00AD0DBE" w:rsidRDefault="00AD0DBE" w:rsidP="00B52015">
            <w:pPr>
              <w:pStyle w:val="MAINBODY"/>
              <w:spacing w:line="480" w:lineRule="auto"/>
              <w:ind w:firstLine="0"/>
            </w:pPr>
            <w:r>
              <w:t>0</w:t>
            </w:r>
          </w:p>
        </w:tc>
        <w:tc>
          <w:tcPr>
            <w:tcW w:w="4230" w:type="dxa"/>
            <w:gridSpan w:val="2"/>
          </w:tcPr>
          <w:p w:rsidR="00AD0DBE" w:rsidRDefault="00AD0DBE" w:rsidP="00B52015">
            <w:pPr>
              <w:pStyle w:val="MAINBODY"/>
              <w:spacing w:line="480" w:lineRule="auto"/>
              <w:ind w:firstLine="0"/>
            </w:pPr>
            <w:r>
              <w:t>TS timer</w:t>
            </w:r>
          </w:p>
        </w:tc>
        <w:tc>
          <w:tcPr>
            <w:tcW w:w="2834" w:type="dxa"/>
          </w:tcPr>
          <w:p w:rsidR="00AD0DBE" w:rsidRDefault="00AD0DBE" w:rsidP="00B52015">
            <w:pPr>
              <w:pStyle w:val="MAINBODY"/>
              <w:spacing w:line="480" w:lineRule="auto"/>
              <w:ind w:firstLine="0"/>
            </w:pPr>
            <w:r>
              <w:t>TI sync check</w:t>
            </w:r>
          </w:p>
        </w:tc>
      </w:tr>
      <w:tr w:rsidR="003C387E" w:rsidTr="003C387E">
        <w:tc>
          <w:tcPr>
            <w:tcW w:w="738" w:type="dxa"/>
          </w:tcPr>
          <w:p w:rsidR="003C387E" w:rsidRDefault="003C387E" w:rsidP="00B52015">
            <w:pPr>
              <w:pStyle w:val="MAINBODY"/>
              <w:spacing w:line="480" w:lineRule="auto"/>
              <w:ind w:firstLine="0"/>
            </w:pPr>
            <w:r>
              <w:t>parity</w:t>
            </w:r>
          </w:p>
        </w:tc>
        <w:tc>
          <w:tcPr>
            <w:tcW w:w="720" w:type="dxa"/>
          </w:tcPr>
          <w:p w:rsidR="003C387E" w:rsidRDefault="003C387E" w:rsidP="00B52015">
            <w:pPr>
              <w:pStyle w:val="MAINBODY"/>
              <w:spacing w:line="480" w:lineRule="auto"/>
              <w:ind w:firstLine="0"/>
            </w:pPr>
            <w:r>
              <w:t>1</w:t>
            </w:r>
          </w:p>
        </w:tc>
        <w:tc>
          <w:tcPr>
            <w:tcW w:w="720" w:type="dxa"/>
          </w:tcPr>
          <w:p w:rsidR="003C387E" w:rsidRDefault="003C387E" w:rsidP="00B52015">
            <w:pPr>
              <w:pStyle w:val="MAINBODY"/>
              <w:spacing w:line="480" w:lineRule="auto"/>
              <w:ind w:firstLine="0"/>
            </w:pPr>
            <w:r>
              <w:t>1</w:t>
            </w:r>
          </w:p>
        </w:tc>
        <w:tc>
          <w:tcPr>
            <w:tcW w:w="4230" w:type="dxa"/>
            <w:gridSpan w:val="2"/>
          </w:tcPr>
          <w:p w:rsidR="003C387E" w:rsidRDefault="003C387E" w:rsidP="00B52015">
            <w:pPr>
              <w:pStyle w:val="MAINBODY"/>
              <w:spacing w:line="480" w:lineRule="auto"/>
              <w:ind w:firstLine="0"/>
            </w:pPr>
            <w:r>
              <w:t>Trigger content</w:t>
            </w:r>
          </w:p>
        </w:tc>
        <w:tc>
          <w:tcPr>
            <w:tcW w:w="2834" w:type="dxa"/>
          </w:tcPr>
          <w:p w:rsidR="003C387E" w:rsidRDefault="003C387E" w:rsidP="00B52015">
            <w:pPr>
              <w:pStyle w:val="MAINBODY"/>
              <w:spacing w:line="480" w:lineRule="auto"/>
              <w:ind w:firstLine="0"/>
            </w:pPr>
            <w:r>
              <w:t>Additional trigger information</w:t>
            </w:r>
          </w:p>
        </w:tc>
      </w:tr>
    </w:tbl>
    <w:p w:rsidR="00AD0DBE" w:rsidRDefault="00AD0DBE" w:rsidP="00B52015">
      <w:pPr>
        <w:pStyle w:val="MAINBODY"/>
        <w:spacing w:line="480" w:lineRule="auto"/>
      </w:pPr>
    </w:p>
    <w:p w:rsidR="005404B9" w:rsidRDefault="00C27D77" w:rsidP="00C036C5">
      <w:pPr>
        <w:pStyle w:val="MAINBODY"/>
        <w:spacing w:line="480" w:lineRule="auto"/>
      </w:pPr>
      <w:r>
        <w:t xml:space="preserve">An On-Semi MC100LVEP14 </w:t>
      </w:r>
      <w:r w:rsidR="00964093">
        <w:t>differential clock driver</w:t>
      </w:r>
      <w:r>
        <w:t xml:space="preserve"> is used for clock fanout.  </w:t>
      </w:r>
      <w:r w:rsidR="00AD0DBE">
        <w:t>The TS can receive an external input as the main clock source.  The external clock input can be a clock generator, or the CEBAF synchronized clock.  It can also use its on-board oscillator as the main clock.  The source is selected by a hardware switch</w:t>
      </w:r>
      <w:r w:rsidR="00FF683C">
        <w:t xml:space="preserve"> to be flexible, and</w:t>
      </w:r>
      <w:r w:rsidR="00C0340B">
        <w:t xml:space="preserve"> less prone to problems.  The clock is fanned out to the FPGA, front panel outputs and VXS P0 backplane.  The P0 backplane clock is received by the SD and further fanned out to the TD, then to the TI and the whole system.</w:t>
      </w:r>
      <w:r w:rsidR="00C036C5" w:rsidRPr="00C036C5">
        <w:t xml:space="preserve"> </w:t>
      </w:r>
      <w:r w:rsidR="00C036C5">
        <w:t xml:space="preserve">  </w:t>
      </w:r>
      <w:r w:rsidR="00964093">
        <w:t>W</w:t>
      </w:r>
      <w:r w:rsidR="00C036C5">
        <w:t>hen the system run on the accelerator synchronized clock</w:t>
      </w:r>
      <w:r w:rsidR="00964093">
        <w:t>,</w:t>
      </w:r>
      <w:r w:rsidR="00C036C5">
        <w:t xml:space="preserve"> the TS clock c</w:t>
      </w:r>
      <w:r w:rsidR="00964093">
        <w:t>ould</w:t>
      </w:r>
      <w:r w:rsidR="00C036C5">
        <w:t xml:space="preserve"> be used as TDC time zero.</w:t>
      </w:r>
    </w:p>
    <w:p w:rsidR="00C0340B" w:rsidRDefault="00964093" w:rsidP="00B52015">
      <w:pPr>
        <w:pStyle w:val="MAINBODY"/>
        <w:spacing w:line="480" w:lineRule="auto"/>
      </w:pPr>
      <w:r>
        <w:t xml:space="preserve">The TS FPGA </w:t>
      </w:r>
      <w:r w:rsidR="00FF683C">
        <w:t xml:space="preserve">built in </w:t>
      </w:r>
      <w:r w:rsidR="00015CB6">
        <w:t>D</w:t>
      </w:r>
      <w:r w:rsidR="00FF683C">
        <w:t xml:space="preserve">igital </w:t>
      </w:r>
      <w:r w:rsidR="00015CB6">
        <w:t>C</w:t>
      </w:r>
      <w:r w:rsidR="00FF683C">
        <w:t xml:space="preserve">lock </w:t>
      </w:r>
      <w:r w:rsidR="00015CB6">
        <w:t>M</w:t>
      </w:r>
      <w:r w:rsidR="00FF683C">
        <w:t>anager (DCM)</w:t>
      </w:r>
      <w:r w:rsidR="00015CB6">
        <w:t xml:space="preserve"> </w:t>
      </w:r>
      <w:r>
        <w:t xml:space="preserve">is used </w:t>
      </w:r>
      <w:r w:rsidR="00015CB6">
        <w:t>to generate the 125MHz and 62.5MHz lower speed clocks for trigger word serialization.</w:t>
      </w:r>
      <w:r w:rsidR="00FF683C">
        <w:t xml:space="preserve">  The generated clocks </w:t>
      </w:r>
      <w:r>
        <w:t xml:space="preserve">are also used to </w:t>
      </w:r>
      <w:r w:rsidR="00FF683C">
        <w:t>keep the system synchronized.</w:t>
      </w:r>
    </w:p>
    <w:p w:rsidR="005404B9" w:rsidRDefault="00015CB6" w:rsidP="00B52015">
      <w:pPr>
        <w:pStyle w:val="MAINBODY"/>
        <w:spacing w:line="480" w:lineRule="auto"/>
      </w:pPr>
      <w:r>
        <w:t xml:space="preserve">Another signal distributed by the TS is the SYNC.  The SYNC is an encoded four bits </w:t>
      </w:r>
      <w:r w:rsidR="00FF683C">
        <w:t xml:space="preserve">serialized </w:t>
      </w:r>
      <w:r>
        <w:t xml:space="preserve">command </w:t>
      </w:r>
      <w:r w:rsidR="009D63C6">
        <w:t xml:space="preserve">transferred at 250Mbps.  Normally, the SYNC stays at </w:t>
      </w:r>
      <w:r w:rsidR="00FF683C">
        <w:t xml:space="preserve">logic </w:t>
      </w:r>
      <w:r w:rsidR="009D63C6">
        <w:t xml:space="preserve">high (or ‘1’).  When transferring a </w:t>
      </w:r>
      <w:r w:rsidR="00FF683C">
        <w:t>SYNC command, the SYNC goes to logic low</w:t>
      </w:r>
      <w:r w:rsidR="009D63C6">
        <w:t xml:space="preserve"> for one bit, then followed by the 4-bit command code.  After the 4-bit SYNC command, the SYNC goes </w:t>
      </w:r>
      <w:r w:rsidR="00FF683C">
        <w:t xml:space="preserve">to logic </w:t>
      </w:r>
      <w:r w:rsidR="009D63C6">
        <w:t xml:space="preserve">high again.  There is a minimum of four ‘1’s before the next SYNC command.  To facilitate the AC coupled fiber optical transceivers, the SYNC is Manchester encoded </w:t>
      </w:r>
      <w:r w:rsidR="00FF683C">
        <w:t>on TS, a</w:t>
      </w:r>
      <w:r w:rsidR="004A7CB7">
        <w:t>n</w:t>
      </w:r>
      <w:r w:rsidR="00FF683C">
        <w:t xml:space="preserve">d Manchester decoded on the TI, </w:t>
      </w:r>
      <w:r w:rsidR="009D63C6">
        <w:t xml:space="preserve">to </w:t>
      </w:r>
      <w:r w:rsidR="00FF683C">
        <w:t>en</w:t>
      </w:r>
      <w:r w:rsidR="009D63C6">
        <w:t>sure the DC balance</w:t>
      </w:r>
      <w:r w:rsidR="00FF683C">
        <w:t xml:space="preserve"> on the fibre media</w:t>
      </w:r>
      <w:r w:rsidR="009D63C6">
        <w:t xml:space="preserve">.  Table 2 </w:t>
      </w:r>
      <w:r w:rsidR="00FF683C">
        <w:t>shows some SYNC command codes.</w:t>
      </w:r>
    </w:p>
    <w:p w:rsidR="00693746" w:rsidRDefault="00693746" w:rsidP="00693746">
      <w:pPr>
        <w:pStyle w:val="Caption"/>
        <w:keepNext/>
      </w:pPr>
      <w:r>
        <w:t xml:space="preserve">Table </w:t>
      </w:r>
      <w:fldSimple w:instr=" SEQ Table \* ARABIC ">
        <w:r w:rsidR="00CD6839">
          <w:rPr>
            <w:noProof/>
          </w:rPr>
          <w:t>2</w:t>
        </w:r>
      </w:fldSimple>
      <w:r>
        <w:t xml:space="preserve">  SYNC </w:t>
      </w:r>
      <w:r w:rsidR="00FF683C">
        <w:t>command codes</w:t>
      </w:r>
    </w:p>
    <w:p w:rsidR="003C67EA" w:rsidRPr="003C67EA" w:rsidRDefault="003C67EA" w:rsidP="003C67EA">
      <w:pPr>
        <w:rPr>
          <w:lang w:val="en-US"/>
        </w:rPr>
      </w:pPr>
    </w:p>
    <w:tbl>
      <w:tblPr>
        <w:tblStyle w:val="TableGrid"/>
        <w:tblW w:w="0" w:type="auto"/>
        <w:tblLook w:val="04A0"/>
      </w:tblPr>
      <w:tblGrid>
        <w:gridCol w:w="1998"/>
        <w:gridCol w:w="7244"/>
      </w:tblGrid>
      <w:tr w:rsidR="009D63C6" w:rsidTr="009D63C6">
        <w:tc>
          <w:tcPr>
            <w:tcW w:w="1998" w:type="dxa"/>
          </w:tcPr>
          <w:p w:rsidR="009D63C6" w:rsidRDefault="009D63C6" w:rsidP="00B52015">
            <w:pPr>
              <w:pStyle w:val="MAINBODY"/>
              <w:spacing w:line="480" w:lineRule="auto"/>
              <w:ind w:firstLine="0"/>
            </w:pPr>
            <w:r>
              <w:t>4-bit SYNC</w:t>
            </w:r>
            <w:r w:rsidR="00FF683C">
              <w:t xml:space="preserve"> code</w:t>
            </w:r>
          </w:p>
        </w:tc>
        <w:tc>
          <w:tcPr>
            <w:tcW w:w="7244" w:type="dxa"/>
          </w:tcPr>
          <w:p w:rsidR="009D63C6" w:rsidRDefault="009D63C6" w:rsidP="00B52015">
            <w:pPr>
              <w:pStyle w:val="MAINBODY"/>
              <w:spacing w:line="480" w:lineRule="auto"/>
              <w:ind w:firstLine="0"/>
            </w:pPr>
            <w:r>
              <w:t>SYNC action</w:t>
            </w:r>
          </w:p>
        </w:tc>
      </w:tr>
      <w:tr w:rsidR="009D63C6" w:rsidTr="009D63C6">
        <w:tc>
          <w:tcPr>
            <w:tcW w:w="1998" w:type="dxa"/>
          </w:tcPr>
          <w:p w:rsidR="009D63C6" w:rsidRDefault="009D63C6" w:rsidP="00B52015">
            <w:pPr>
              <w:pStyle w:val="MAINBODY"/>
              <w:spacing w:line="480" w:lineRule="auto"/>
              <w:ind w:firstLine="0"/>
            </w:pPr>
            <w:r>
              <w:t>0000 or 1111</w:t>
            </w:r>
          </w:p>
        </w:tc>
        <w:tc>
          <w:tcPr>
            <w:tcW w:w="7244" w:type="dxa"/>
          </w:tcPr>
          <w:p w:rsidR="009D63C6" w:rsidRDefault="009D63C6" w:rsidP="00B52015">
            <w:pPr>
              <w:pStyle w:val="MAINBODY"/>
              <w:spacing w:line="480" w:lineRule="auto"/>
              <w:ind w:firstLine="0"/>
            </w:pPr>
            <w:r>
              <w:t>Invalid</w:t>
            </w:r>
            <w:r w:rsidR="00FF683C">
              <w:t xml:space="preserve"> codes</w:t>
            </w:r>
          </w:p>
        </w:tc>
      </w:tr>
      <w:tr w:rsidR="009D63C6" w:rsidTr="009D63C6">
        <w:tc>
          <w:tcPr>
            <w:tcW w:w="1998" w:type="dxa"/>
          </w:tcPr>
          <w:p w:rsidR="009D63C6" w:rsidRDefault="009D63C6" w:rsidP="00B52015">
            <w:pPr>
              <w:pStyle w:val="MAINBODY"/>
              <w:spacing w:line="480" w:lineRule="auto"/>
              <w:ind w:firstLine="0"/>
            </w:pPr>
            <w:r>
              <w:t>1101</w:t>
            </w:r>
          </w:p>
        </w:tc>
        <w:tc>
          <w:tcPr>
            <w:tcW w:w="7244" w:type="dxa"/>
          </w:tcPr>
          <w:p w:rsidR="009D63C6" w:rsidRDefault="009D63C6" w:rsidP="00B52015">
            <w:pPr>
              <w:pStyle w:val="MAINBODY"/>
              <w:spacing w:line="480" w:lineRule="auto"/>
              <w:ind w:firstLine="0"/>
            </w:pPr>
            <w:r>
              <w:t>Front end crate reset</w:t>
            </w:r>
          </w:p>
        </w:tc>
      </w:tr>
      <w:tr w:rsidR="009D63C6" w:rsidTr="009D63C6">
        <w:tc>
          <w:tcPr>
            <w:tcW w:w="1998" w:type="dxa"/>
          </w:tcPr>
          <w:p w:rsidR="009D63C6" w:rsidRDefault="009D63C6" w:rsidP="00B52015">
            <w:pPr>
              <w:pStyle w:val="MAINBODY"/>
              <w:spacing w:line="480" w:lineRule="auto"/>
              <w:ind w:firstLine="0"/>
            </w:pPr>
            <w:r>
              <w:t>0101</w:t>
            </w:r>
          </w:p>
        </w:tc>
        <w:tc>
          <w:tcPr>
            <w:tcW w:w="7244" w:type="dxa"/>
          </w:tcPr>
          <w:p w:rsidR="009D63C6" w:rsidRDefault="009D63C6" w:rsidP="00693746">
            <w:pPr>
              <w:pStyle w:val="MAINBODY"/>
              <w:spacing w:line="480" w:lineRule="auto"/>
              <w:ind w:firstLine="0"/>
            </w:pPr>
            <w:r>
              <w:t>Trigger start</w:t>
            </w:r>
            <w:r w:rsidR="00693746">
              <w:t>/trigger link enable, trigger FIFO read counter reset</w:t>
            </w:r>
          </w:p>
        </w:tc>
      </w:tr>
      <w:tr w:rsidR="009D63C6" w:rsidTr="009D63C6">
        <w:tc>
          <w:tcPr>
            <w:tcW w:w="1998" w:type="dxa"/>
          </w:tcPr>
          <w:p w:rsidR="009D63C6" w:rsidRDefault="009D63C6" w:rsidP="00B52015">
            <w:pPr>
              <w:pStyle w:val="MAINBODY"/>
              <w:spacing w:line="480" w:lineRule="auto"/>
              <w:ind w:firstLine="0"/>
            </w:pPr>
            <w:r>
              <w:t>0111</w:t>
            </w:r>
          </w:p>
        </w:tc>
        <w:tc>
          <w:tcPr>
            <w:tcW w:w="7244" w:type="dxa"/>
          </w:tcPr>
          <w:p w:rsidR="009D63C6" w:rsidRDefault="009D63C6" w:rsidP="00B52015">
            <w:pPr>
              <w:pStyle w:val="MAINBODY"/>
              <w:spacing w:line="480" w:lineRule="auto"/>
              <w:ind w:firstLine="0"/>
            </w:pPr>
            <w:r>
              <w:t>Trigger stop</w:t>
            </w:r>
            <w:r w:rsidR="00693746">
              <w:t>/trigger link disable</w:t>
            </w:r>
            <w:r>
              <w:t xml:space="preserve">, and trigger </w:t>
            </w:r>
            <w:r w:rsidR="00693746">
              <w:t xml:space="preserve">FIFO write </w:t>
            </w:r>
            <w:r>
              <w:t>counter reset</w:t>
            </w:r>
          </w:p>
        </w:tc>
      </w:tr>
      <w:tr w:rsidR="009D63C6" w:rsidTr="009D63C6">
        <w:tc>
          <w:tcPr>
            <w:tcW w:w="1998" w:type="dxa"/>
          </w:tcPr>
          <w:p w:rsidR="009D63C6" w:rsidRDefault="009D63C6" w:rsidP="00B52015">
            <w:pPr>
              <w:pStyle w:val="MAINBODY"/>
              <w:spacing w:line="480" w:lineRule="auto"/>
              <w:ind w:firstLine="0"/>
            </w:pPr>
            <w:r>
              <w:t>001</w:t>
            </w:r>
            <w:r w:rsidR="00693746">
              <w:t>0</w:t>
            </w:r>
          </w:p>
        </w:tc>
        <w:tc>
          <w:tcPr>
            <w:tcW w:w="7244" w:type="dxa"/>
          </w:tcPr>
          <w:p w:rsidR="009D63C6" w:rsidRDefault="00693746" w:rsidP="00B52015">
            <w:pPr>
              <w:pStyle w:val="MAINBODY"/>
              <w:spacing w:line="480" w:lineRule="auto"/>
              <w:ind w:firstLine="0"/>
            </w:pPr>
            <w:r>
              <w:t>System clock resync</w:t>
            </w:r>
            <w:r w:rsidR="004A7CB7">
              <w:t>hronization</w:t>
            </w:r>
          </w:p>
        </w:tc>
      </w:tr>
      <w:tr w:rsidR="00693746" w:rsidTr="009D63C6">
        <w:tc>
          <w:tcPr>
            <w:tcW w:w="1998" w:type="dxa"/>
          </w:tcPr>
          <w:p w:rsidR="00693746" w:rsidRDefault="00693746" w:rsidP="00B52015">
            <w:pPr>
              <w:pStyle w:val="MAINBODY"/>
              <w:spacing w:line="480" w:lineRule="auto"/>
              <w:ind w:firstLine="0"/>
            </w:pPr>
            <w:r>
              <w:lastRenderedPageBreak/>
              <w:t>0001</w:t>
            </w:r>
          </w:p>
        </w:tc>
        <w:tc>
          <w:tcPr>
            <w:tcW w:w="7244" w:type="dxa"/>
          </w:tcPr>
          <w:p w:rsidR="00693746" w:rsidRDefault="00693746" w:rsidP="00B52015">
            <w:pPr>
              <w:pStyle w:val="MAINBODY"/>
              <w:spacing w:line="480" w:lineRule="auto"/>
              <w:ind w:firstLine="0"/>
            </w:pPr>
            <w:r>
              <w:t>TI VME clock DCM reset</w:t>
            </w:r>
          </w:p>
        </w:tc>
      </w:tr>
      <w:tr w:rsidR="009D63C6" w:rsidTr="009D63C6">
        <w:tc>
          <w:tcPr>
            <w:tcW w:w="1998" w:type="dxa"/>
          </w:tcPr>
          <w:p w:rsidR="009D63C6" w:rsidRDefault="00693746" w:rsidP="00B52015">
            <w:pPr>
              <w:pStyle w:val="MAINBODY"/>
              <w:spacing w:line="480" w:lineRule="auto"/>
              <w:ind w:firstLine="0"/>
            </w:pPr>
            <w:r>
              <w:t>0100</w:t>
            </w:r>
          </w:p>
        </w:tc>
        <w:tc>
          <w:tcPr>
            <w:tcW w:w="7244" w:type="dxa"/>
          </w:tcPr>
          <w:p w:rsidR="009D63C6" w:rsidRDefault="00693746" w:rsidP="004A7CB7">
            <w:pPr>
              <w:pStyle w:val="MAINBODY"/>
              <w:spacing w:line="480" w:lineRule="auto"/>
              <w:ind w:firstLine="0"/>
            </w:pPr>
            <w:r>
              <w:t>Reset the TI GTP status register</w:t>
            </w:r>
          </w:p>
        </w:tc>
      </w:tr>
      <w:tr w:rsidR="009D63C6" w:rsidTr="009D63C6">
        <w:tc>
          <w:tcPr>
            <w:tcW w:w="1998" w:type="dxa"/>
          </w:tcPr>
          <w:p w:rsidR="009D63C6" w:rsidRDefault="00693746" w:rsidP="00B52015">
            <w:pPr>
              <w:pStyle w:val="MAINBODY"/>
              <w:spacing w:line="480" w:lineRule="auto"/>
              <w:ind w:firstLine="0"/>
            </w:pPr>
            <w:r>
              <w:t>Others</w:t>
            </w:r>
          </w:p>
        </w:tc>
        <w:tc>
          <w:tcPr>
            <w:tcW w:w="7244" w:type="dxa"/>
          </w:tcPr>
          <w:p w:rsidR="009D63C6" w:rsidRDefault="00693746" w:rsidP="00B52015">
            <w:pPr>
              <w:pStyle w:val="MAINBODY"/>
              <w:spacing w:line="480" w:lineRule="auto"/>
              <w:ind w:firstLine="0"/>
            </w:pPr>
            <w:r>
              <w:t>To be assigned</w:t>
            </w:r>
          </w:p>
        </w:tc>
      </w:tr>
    </w:tbl>
    <w:p w:rsidR="009D63C6" w:rsidRDefault="009D63C6" w:rsidP="00B52015">
      <w:pPr>
        <w:pStyle w:val="MAINBODY"/>
        <w:spacing w:line="480" w:lineRule="auto"/>
      </w:pPr>
    </w:p>
    <w:p w:rsidR="005404B9" w:rsidRDefault="005404B9" w:rsidP="005404B9">
      <w:pPr>
        <w:pStyle w:val="Sub-subheadings"/>
        <w:spacing w:line="480" w:lineRule="auto"/>
      </w:pPr>
      <w:r>
        <w:t>TS FPGA Design</w:t>
      </w:r>
    </w:p>
    <w:p w:rsidR="00860C19" w:rsidRDefault="00DF10B8" w:rsidP="005404B9">
      <w:pPr>
        <w:pStyle w:val="MAINBODY"/>
        <w:spacing w:line="480" w:lineRule="auto"/>
      </w:pPr>
      <w:r>
        <w:t>The mai</w:t>
      </w:r>
      <w:r w:rsidR="00860C19">
        <w:t xml:space="preserve">n function of the TS FPGA is trigger and sync generation to synchronize the DAQ system.  Figure </w:t>
      </w:r>
      <w:r w:rsidR="009A43B5">
        <w:t>5</w:t>
      </w:r>
      <w:r w:rsidR="00860C19">
        <w:t xml:space="preserve"> is the diagram of the </w:t>
      </w:r>
      <w:r w:rsidR="004A7CB7">
        <w:t xml:space="preserve">trigger word generation in </w:t>
      </w:r>
      <w:r w:rsidR="00860C19">
        <w:t>FPGA.</w:t>
      </w:r>
    </w:p>
    <w:p w:rsidR="00860C19" w:rsidRDefault="00C63BAE" w:rsidP="00860C19">
      <w:pPr>
        <w:pStyle w:val="MAINBODY"/>
        <w:keepNext/>
        <w:spacing w:line="480" w:lineRule="auto"/>
      </w:pPr>
      <w:r>
        <w:rPr>
          <w:noProof/>
          <w:lang w:val="en-US"/>
        </w:rPr>
        <w:drawing>
          <wp:inline distT="0" distB="0" distL="0" distR="0">
            <wp:extent cx="5324048" cy="4016039"/>
            <wp:effectExtent l="19050" t="0" r="0" b="0"/>
            <wp:docPr id="17" name="Picture 16" descr="TS_trig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trigger.tif"/>
                    <pic:cNvPicPr/>
                  </pic:nvPicPr>
                  <pic:blipFill>
                    <a:blip r:embed="rId14" cstate="print"/>
                    <a:srcRect l="4000" t="4000" r="3000" b="4000"/>
                    <a:stretch>
                      <a:fillRect/>
                    </a:stretch>
                  </pic:blipFill>
                  <pic:spPr>
                    <a:xfrm>
                      <a:off x="0" y="0"/>
                      <a:ext cx="5324048" cy="4016039"/>
                    </a:xfrm>
                    <a:prstGeom prst="rect">
                      <a:avLst/>
                    </a:prstGeom>
                  </pic:spPr>
                </pic:pic>
              </a:graphicData>
            </a:graphic>
          </wp:inline>
        </w:drawing>
      </w:r>
    </w:p>
    <w:p w:rsidR="00860C19" w:rsidRDefault="00860C19" w:rsidP="00860C19">
      <w:pPr>
        <w:pStyle w:val="Caption"/>
        <w:jc w:val="both"/>
        <w:rPr>
          <w:noProof/>
        </w:rPr>
      </w:pPr>
      <w:bookmarkStart w:id="4" w:name="_Toc298402129"/>
      <w:r>
        <w:t xml:space="preserve">Figure </w:t>
      </w:r>
      <w:fldSimple w:instr=" SEQ Figure \* ARABIC ">
        <w:r w:rsidR="00CD6839">
          <w:rPr>
            <w:noProof/>
          </w:rPr>
          <w:t>5</w:t>
        </w:r>
      </w:fldSimple>
      <w:r>
        <w:rPr>
          <w:noProof/>
        </w:rPr>
        <w:t xml:space="preserve">  Functional diagram of TS trigger word generation inside the FPGA</w:t>
      </w:r>
      <w:bookmarkEnd w:id="4"/>
    </w:p>
    <w:p w:rsidR="00860C19" w:rsidRPr="00860C19" w:rsidRDefault="00860C19" w:rsidP="00860C19">
      <w:pPr>
        <w:rPr>
          <w:lang w:val="en-US"/>
        </w:rPr>
      </w:pPr>
    </w:p>
    <w:p w:rsidR="00FF683C" w:rsidRDefault="000559A0" w:rsidP="005404B9">
      <w:pPr>
        <w:pStyle w:val="MAINBODY"/>
        <w:spacing w:line="480" w:lineRule="auto"/>
      </w:pPr>
      <w:r>
        <w:t>A</w:t>
      </w:r>
      <w:r w:rsidR="004A7CB7">
        <w:t>n</w:t>
      </w:r>
      <w:r>
        <w:t xml:space="preserve"> 8-bit trigger type word is generated </w:t>
      </w:r>
      <w:r w:rsidR="004A7CB7">
        <w:t xml:space="preserve">from 32 trigger inputs </w:t>
      </w:r>
      <w:r>
        <w:t xml:space="preserve">by a two level 16-bit address and 8-bit output look up tables as shown in the FPGA diagram.  </w:t>
      </w:r>
      <w:r w:rsidR="004A7CB7">
        <w:t xml:space="preserve">The </w:t>
      </w:r>
      <w:r w:rsidR="008B35F4">
        <w:t xml:space="preserve">Look up table is implemented in the FPGA Block RAM.  The total Block RAM used is </w:t>
      </w:r>
      <w:r w:rsidR="004A7CB7">
        <w:t>about four</w:t>
      </w:r>
      <w:r w:rsidR="008B35F4">
        <w:t xml:space="preserve"> Mega bits, which can fit in the XC5VFX70T FPGA comfortably.  The various trigger sources are controlled by the trigger throttling logic, and the multiplexed </w:t>
      </w:r>
      <w:r w:rsidR="00961426">
        <w:t>trigger types from different sources are assembled as the 16-bit trigger words.  These trigger words are serialized by the FPGA builtin MGT modules, and sent out of the FPGA and the TS every 16ns.</w:t>
      </w:r>
    </w:p>
    <w:p w:rsidR="00961426" w:rsidRDefault="00961426" w:rsidP="005404B9">
      <w:pPr>
        <w:pStyle w:val="MAINBODY"/>
        <w:spacing w:line="480" w:lineRule="auto"/>
      </w:pPr>
      <w:r>
        <w:lastRenderedPageBreak/>
        <w:t xml:space="preserve">The 4-bit SYNC command is serialized and transferred </w:t>
      </w:r>
      <w:r w:rsidR="00E4156E">
        <w:t>at the speed of 250 Mbps.</w:t>
      </w:r>
      <w:r w:rsidR="0057352D">
        <w:t xml:space="preserve">  The 4-bit command uses a time window of 16ns too.  The SYNC command can be adjusted, so the phase of 4-bit command has a fixed phase delay relative to the 62.5MHz clock used for the trigger word transfer.  This phase relation is used to synchronize the slower clocks on the TI to the TS</w:t>
      </w:r>
      <w:r w:rsidR="004A7CB7">
        <w:t>’</w:t>
      </w:r>
      <w:r w:rsidR="0057352D">
        <w:t xml:space="preserve"> </w:t>
      </w:r>
      <w:r w:rsidR="004A7CB7">
        <w:t>62.5 MHz</w:t>
      </w:r>
      <w:r w:rsidR="0057352D">
        <w:t xml:space="preserve"> clock.</w:t>
      </w:r>
    </w:p>
    <w:p w:rsidR="0057352D" w:rsidRDefault="0057352D" w:rsidP="005404B9">
      <w:pPr>
        <w:pStyle w:val="MAINBODY"/>
        <w:spacing w:line="480" w:lineRule="auto"/>
      </w:pPr>
      <w:r>
        <w:t>In addition to the trigger word and SYN signal generation, the TS FPGA has two VME to I</w:t>
      </w:r>
      <w:r w:rsidRPr="004A7CB7">
        <w:rPr>
          <w:vertAlign w:val="superscript"/>
        </w:rPr>
        <w:t>2</w:t>
      </w:r>
      <w:r>
        <w:t>C</w:t>
      </w:r>
      <w:r w:rsidR="00661D58">
        <w:t xml:space="preserve"> engines and two VME to JTAG en</w:t>
      </w:r>
      <w:r>
        <w:t>gines.  Each of the I</w:t>
      </w:r>
      <w:r w:rsidRPr="004A7CB7">
        <w:rPr>
          <w:vertAlign w:val="superscript"/>
        </w:rPr>
        <w:t>2</w:t>
      </w:r>
      <w:r>
        <w:t>C engines is connected to one switch slot in the VXS crate, to serve as a bridge between the VME controller and the switch slot</w:t>
      </w:r>
      <w:r w:rsidR="004A7CB7">
        <w:t xml:space="preserve"> board</w:t>
      </w:r>
      <w:r>
        <w:t>.  The JTAG engines connect to the FPGA JTAG port and PROM JTAG port.  T</w:t>
      </w:r>
      <w:r w:rsidR="00661D58">
        <w:t xml:space="preserve">he ports can be used to load the PROM, readout the chip </w:t>
      </w:r>
      <w:r w:rsidR="004A7CB7">
        <w:t>identification</w:t>
      </w:r>
      <w:r w:rsidR="00661D58">
        <w:t xml:space="preserve"> codes and user programmable code.  The chip ID code is a unique code to identify the hardware device, while the user programmable code is programmed by the firmware developer.  The TS PROM user code includes the TS serial number, and TS identification information.  The TS FPGA user code includes the firmware revision information.</w:t>
      </w:r>
    </w:p>
    <w:p w:rsidR="005404B9" w:rsidRDefault="005404B9" w:rsidP="005404B9">
      <w:pPr>
        <w:pStyle w:val="Sub-subheadings"/>
        <w:spacing w:line="480" w:lineRule="auto"/>
      </w:pPr>
      <w:r>
        <w:t>TS FPGA programming</w:t>
      </w:r>
    </w:p>
    <w:p w:rsidR="00860C19" w:rsidRDefault="00860C19" w:rsidP="005404B9">
      <w:pPr>
        <w:pStyle w:val="MAINBODY"/>
        <w:spacing w:line="480" w:lineRule="auto"/>
      </w:pPr>
      <w:r>
        <w:t>The TS FPGA is Xilinx XC</w:t>
      </w:r>
      <w:r w:rsidR="00007120">
        <w:t>5VFX</w:t>
      </w:r>
      <w:r w:rsidR="00661D58">
        <w:t>70</w:t>
      </w:r>
      <w:r w:rsidR="00007120">
        <w:t>T-1136</w:t>
      </w:r>
      <w:r w:rsidR="004A7CB7">
        <w:t>, which</w:t>
      </w:r>
      <w:r w:rsidR="00007120">
        <w:t xml:space="preserve"> needs </w:t>
      </w:r>
      <w:r w:rsidR="00661D58">
        <w:t xml:space="preserve">about 27 </w:t>
      </w:r>
      <w:r w:rsidR="00007120">
        <w:t>Mbit of uncompressed data to configure the FPGA.  A XCF32P PROM is used in serial mode to configure the FPGA</w:t>
      </w:r>
      <w:r w:rsidR="004A7CB7">
        <w:t xml:space="preserve"> and store the configure file when the power is out</w:t>
      </w:r>
      <w:r w:rsidR="00007120">
        <w:t xml:space="preserve">.  When the FPGA </w:t>
      </w:r>
      <w:r w:rsidR="004A7CB7">
        <w:t xml:space="preserve">configuration </w:t>
      </w:r>
      <w:r w:rsidR="00007120">
        <w:t>bits are compressed, the PROM can hold two versions of the firmware.  This two version</w:t>
      </w:r>
      <w:r w:rsidR="00BF0EE8">
        <w:t>s</w:t>
      </w:r>
      <w:r w:rsidR="00007120">
        <w:t xml:space="preserve"> design make</w:t>
      </w:r>
      <w:r w:rsidR="00BF0EE8">
        <w:t>s</w:t>
      </w:r>
      <w:r w:rsidR="00007120">
        <w:t xml:space="preserve"> switching the TS operation mode</w:t>
      </w:r>
      <w:r w:rsidR="004A7CB7">
        <w:t>s</w:t>
      </w:r>
      <w:r w:rsidR="00007120">
        <w:t xml:space="preserve"> very easily.  </w:t>
      </w:r>
    </w:p>
    <w:p w:rsidR="00007120" w:rsidRDefault="00007120" w:rsidP="005404B9">
      <w:pPr>
        <w:pStyle w:val="MAINBODY"/>
        <w:spacing w:line="480" w:lineRule="auto"/>
      </w:pPr>
      <w:r>
        <w:t>The PROM can be loaded remotely by VME command.  A user defined address modifier (AM) code 0x19 is used to load the XCF32P PROM</w:t>
      </w:r>
      <w:r w:rsidR="00547041">
        <w:t xml:space="preserve"> by a discrete logic engine for VME to JTAG decoding</w:t>
      </w:r>
      <w:r>
        <w:t>.  Th</w:t>
      </w:r>
      <w:r w:rsidR="004A7CB7">
        <w:t>is</w:t>
      </w:r>
      <w:r>
        <w:t xml:space="preserve"> loading </w:t>
      </w:r>
      <w:r w:rsidR="00547041">
        <w:t>d</w:t>
      </w:r>
      <w:r>
        <w:t>oes not depend on the FPGA</w:t>
      </w:r>
      <w:r w:rsidR="004A7CB7">
        <w:t xml:space="preserve"> and</w:t>
      </w:r>
      <w:r w:rsidR="00BF0EE8">
        <w:t xml:space="preserve"> works on a bare board from the assembly house.  This process load</w:t>
      </w:r>
      <w:r w:rsidR="004A7CB7">
        <w:t>s</w:t>
      </w:r>
      <w:r w:rsidR="00BF0EE8">
        <w:t xml:space="preserve"> one bit of PROM data per VME transfer.  To increase the efficiency of VME transfer, </w:t>
      </w:r>
      <w:r w:rsidR="004A7CB7">
        <w:t xml:space="preserve">the second VME to </w:t>
      </w:r>
      <w:r w:rsidR="00BF0EE8">
        <w:t>JTAG engine</w:t>
      </w:r>
      <w:r w:rsidR="00547041">
        <w:t xml:space="preserve"> i</w:t>
      </w:r>
      <w:r w:rsidR="004A7CB7">
        <w:t>s implemented inside the FPGA</w:t>
      </w:r>
      <w:r w:rsidR="00BF0EE8">
        <w:t xml:space="preserve">.  With the </w:t>
      </w:r>
      <w:r w:rsidR="00266778">
        <w:t xml:space="preserve">FPGA </w:t>
      </w:r>
      <w:r w:rsidR="00BF0EE8">
        <w:t xml:space="preserve">JTAG engine, 32-bits are loaded into the PROM per VME command.  </w:t>
      </w:r>
      <w:r w:rsidR="00266778">
        <w:t>T</w:t>
      </w:r>
      <w:r w:rsidR="00BF0EE8">
        <w:t xml:space="preserve">his process </w:t>
      </w:r>
      <w:r w:rsidR="00266778">
        <w:t xml:space="preserve">is much more efficient than </w:t>
      </w:r>
      <w:r w:rsidR="004A7CB7">
        <w:t xml:space="preserve">that of </w:t>
      </w:r>
      <w:r w:rsidR="00266778">
        <w:t xml:space="preserve">the discrete logic engine, but it </w:t>
      </w:r>
      <w:r w:rsidR="00BF0EE8">
        <w:t xml:space="preserve">works only </w:t>
      </w:r>
      <w:r w:rsidR="004A7CB7">
        <w:t>when</w:t>
      </w:r>
      <w:r w:rsidR="00BF0EE8">
        <w:t xml:space="preserve"> the FPGA is programmed</w:t>
      </w:r>
      <w:r w:rsidR="003A4690">
        <w:t xml:space="preserve"> and working.</w:t>
      </w:r>
    </w:p>
    <w:p w:rsidR="00602002" w:rsidRDefault="005404B9" w:rsidP="00B52015">
      <w:pPr>
        <w:pStyle w:val="Subheadings"/>
        <w:spacing w:line="480" w:lineRule="auto"/>
        <w:rPr>
          <w:i w:val="0"/>
          <w:iCs w:val="0"/>
        </w:rPr>
      </w:pPr>
      <w:r>
        <w:t>Signal Distribution</w:t>
      </w:r>
      <w:r w:rsidR="00602002">
        <w:t xml:space="preserve"> (</w:t>
      </w:r>
      <w:r>
        <w:t>SD</w:t>
      </w:r>
      <w:r w:rsidR="00602002">
        <w:t>)</w:t>
      </w:r>
      <w:r>
        <w:t xml:space="preserve"> board</w:t>
      </w:r>
      <w:r w:rsidR="00602002">
        <w:t>:</w:t>
      </w:r>
    </w:p>
    <w:p w:rsidR="00AD49B1" w:rsidRDefault="005404B9" w:rsidP="00B52015">
      <w:pPr>
        <w:pStyle w:val="MAINBODY"/>
        <w:spacing w:line="480" w:lineRule="auto"/>
      </w:pPr>
      <w:r>
        <w:t xml:space="preserve">SD is </w:t>
      </w:r>
      <w:r w:rsidR="00D921E8">
        <w:t xml:space="preserve">designed as </w:t>
      </w:r>
      <w:r w:rsidR="00AD49B1">
        <w:t>VXS switch slot#B</w:t>
      </w:r>
      <w:r w:rsidR="00C95BB1">
        <w:t xml:space="preserve"> (as physical slot#12 in the 21-slot </w:t>
      </w:r>
      <w:r w:rsidR="0041760E">
        <w:t xml:space="preserve">VXS </w:t>
      </w:r>
      <w:r w:rsidR="00C95BB1">
        <w:t>crate)</w:t>
      </w:r>
      <w:r w:rsidR="00AD49B1">
        <w:t xml:space="preserve"> module with phys</w:t>
      </w:r>
      <w:r w:rsidR="006E632E">
        <w:t>ical size of 6Ux160mm.  Figure 6</w:t>
      </w:r>
      <w:r w:rsidR="00AD49B1">
        <w:t xml:space="preserve"> is a picture of the SD card.</w:t>
      </w:r>
    </w:p>
    <w:p w:rsidR="00AD49B1" w:rsidRDefault="00D41F89" w:rsidP="00AD49B1">
      <w:pPr>
        <w:pStyle w:val="MAINBODY"/>
        <w:keepNext/>
        <w:spacing w:line="480" w:lineRule="auto"/>
      </w:pPr>
      <w:r>
        <w:rPr>
          <w:noProof/>
          <w:lang w:val="en-US"/>
        </w:rPr>
        <w:lastRenderedPageBreak/>
        <w:drawing>
          <wp:inline distT="0" distB="0" distL="0" distR="0">
            <wp:extent cx="5214866" cy="3733488"/>
            <wp:effectExtent l="19050" t="0" r="4834" b="0"/>
            <wp:docPr id="18" name="Picture 17" descr="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1.JPG"/>
                    <pic:cNvPicPr/>
                  </pic:nvPicPr>
                  <pic:blipFill>
                    <a:blip r:embed="rId15" cstate="print"/>
                    <a:stretch>
                      <a:fillRect/>
                    </a:stretch>
                  </pic:blipFill>
                  <pic:spPr>
                    <a:xfrm>
                      <a:off x="0" y="0"/>
                      <a:ext cx="5218400" cy="3736018"/>
                    </a:xfrm>
                    <a:prstGeom prst="rect">
                      <a:avLst/>
                    </a:prstGeom>
                  </pic:spPr>
                </pic:pic>
              </a:graphicData>
            </a:graphic>
          </wp:inline>
        </w:drawing>
      </w:r>
    </w:p>
    <w:p w:rsidR="00AD49B1" w:rsidRDefault="00AD49B1" w:rsidP="00AD49B1">
      <w:pPr>
        <w:pStyle w:val="Caption"/>
        <w:jc w:val="both"/>
      </w:pPr>
      <w:bookmarkStart w:id="5" w:name="_Toc298402130"/>
      <w:r>
        <w:t xml:space="preserve">Figure </w:t>
      </w:r>
      <w:fldSimple w:instr=" SEQ Figure \* ARABIC ">
        <w:r w:rsidR="00CD6839">
          <w:rPr>
            <w:noProof/>
          </w:rPr>
          <w:t>6</w:t>
        </w:r>
      </w:fldSimple>
      <w:r>
        <w:t xml:space="preserve">  The Signal Distribution Module</w:t>
      </w:r>
      <w:bookmarkEnd w:id="5"/>
    </w:p>
    <w:p w:rsidR="00AD49B1" w:rsidRPr="00AD49B1" w:rsidRDefault="00AD49B1" w:rsidP="00AD49B1">
      <w:pPr>
        <w:rPr>
          <w:lang w:val="en-US"/>
        </w:rPr>
      </w:pPr>
    </w:p>
    <w:p w:rsidR="00AD49B1" w:rsidRDefault="00AD49B1" w:rsidP="00B52015">
      <w:pPr>
        <w:pStyle w:val="MAINBODY"/>
        <w:spacing w:line="480" w:lineRule="auto"/>
      </w:pPr>
      <w:r>
        <w:t>The SD card receives Trigger, Clock and SYN</w:t>
      </w:r>
      <w:r w:rsidR="0041760E">
        <w:t>C</w:t>
      </w:r>
      <w:r>
        <w:t xml:space="preserve"> signals from the VXS payload slot#18, and fans out the signals to sixteen VXS payload slots, that is,  Payload slot#1 to slot#16</w:t>
      </w:r>
      <w:r w:rsidR="004C7CA7">
        <w:t xml:space="preserve"> through </w:t>
      </w:r>
      <w:r w:rsidR="0041760E">
        <w:t xml:space="preserve">VXS </w:t>
      </w:r>
      <w:r w:rsidR="004C7CA7">
        <w:t>P0 connectors using high speed differential signals</w:t>
      </w:r>
      <w:r>
        <w:t xml:space="preserve">.  In the global trigger/clock distribution crate, the payload slot#18 hosts TS </w:t>
      </w:r>
      <w:r w:rsidR="0041760E">
        <w:t>board</w:t>
      </w:r>
      <w:r>
        <w:t xml:space="preserve">, and payload slot#1 to slot#16 host TD </w:t>
      </w:r>
      <w:r w:rsidR="0041760E">
        <w:t>board</w:t>
      </w:r>
      <w:r>
        <w:t xml:space="preserve">s.  In the front end crates, the slot#18 hosts a TI board, and slot#1 to slot#16 host front end electronics </w:t>
      </w:r>
      <w:r w:rsidR="0041760E">
        <w:t>boards</w:t>
      </w:r>
      <w:r>
        <w:t xml:space="preserve">(Flash ADC, </w:t>
      </w:r>
      <w:r w:rsidR="0041760E">
        <w:t xml:space="preserve">TDC, </w:t>
      </w:r>
      <w:r>
        <w:t>etc.)</w:t>
      </w:r>
    </w:p>
    <w:p w:rsidR="005404B9" w:rsidRDefault="00AD49B1" w:rsidP="00B52015">
      <w:pPr>
        <w:pStyle w:val="MAINBODY"/>
        <w:spacing w:line="480" w:lineRule="auto"/>
      </w:pPr>
      <w:r>
        <w:t>The SD also receives the BUSY status signals from payload slot#1 to payload slot#16</w:t>
      </w:r>
      <w:r w:rsidR="0041760E">
        <w:t xml:space="preserve"> boards</w:t>
      </w:r>
      <w:r>
        <w:t>, and merges the BUSY</w:t>
      </w:r>
      <w:r w:rsidR="0041760E">
        <w:t xml:space="preserve"> signals</w:t>
      </w:r>
      <w:r>
        <w:t xml:space="preserve"> and sends to the payload slot#18</w:t>
      </w:r>
      <w:r w:rsidR="0041760E">
        <w:t xml:space="preserve"> boards</w:t>
      </w:r>
      <w:r>
        <w:t xml:space="preserve">.  </w:t>
      </w:r>
      <w:r w:rsidR="001A7CE7">
        <w:t>This BUSY status is used to throttl</w:t>
      </w:r>
      <w:r w:rsidR="0041760E">
        <w:t>e</w:t>
      </w:r>
      <w:r w:rsidR="001A7CE7">
        <w:t xml:space="preserve"> the trigger sent from TS to keep the DAQ system synchronized.</w:t>
      </w:r>
    </w:p>
    <w:p w:rsidR="001A7CE7" w:rsidRDefault="001A7CE7" w:rsidP="00B52015">
      <w:pPr>
        <w:pStyle w:val="MAINBODY"/>
        <w:spacing w:line="480" w:lineRule="auto"/>
      </w:pPr>
      <w:r>
        <w:t>The SD has the option to clean up the clock jitter using SiliconLab SL5538 PLL component.  The jitter cleaned output clock can also be phase delayed.  This gives the option of aligning the front end crate clock phases.  Fi</w:t>
      </w:r>
      <w:r w:rsidR="00C95BB1">
        <w:t>gure 12</w:t>
      </w:r>
      <w:r>
        <w:t xml:space="preserve"> shows the clock jitter before and after the cleanup.  After the cleanup, the clock jitter is about 1</w:t>
      </w:r>
      <w:r w:rsidR="008D2256">
        <w:t>ps</w:t>
      </w:r>
      <w:r>
        <w:t xml:space="preserve">, which is </w:t>
      </w:r>
      <w:r w:rsidR="0041760E">
        <w:t xml:space="preserve">close to </w:t>
      </w:r>
      <w:r>
        <w:t>the measuring limit of our equipments.</w:t>
      </w:r>
    </w:p>
    <w:p w:rsidR="00602002" w:rsidRDefault="00E524EB" w:rsidP="00B52015">
      <w:pPr>
        <w:pStyle w:val="Subheadings"/>
        <w:spacing w:line="480" w:lineRule="auto"/>
      </w:pPr>
      <w:r>
        <w:t>Trigger Distribution (TD) board</w:t>
      </w:r>
      <w:r w:rsidR="00602002">
        <w:t>:</w:t>
      </w:r>
    </w:p>
    <w:p w:rsidR="004C7CA7" w:rsidRDefault="004C7CA7" w:rsidP="00B52015">
      <w:pPr>
        <w:pStyle w:val="MAINBODY"/>
        <w:spacing w:line="480" w:lineRule="auto"/>
        <w:rPr>
          <w:bCs/>
        </w:rPr>
      </w:pPr>
      <w:r>
        <w:rPr>
          <w:bCs/>
        </w:rPr>
        <w:lastRenderedPageBreak/>
        <w:t xml:space="preserve">The TD </w:t>
      </w:r>
      <w:r w:rsidR="00E52DF8">
        <w:rPr>
          <w:bCs/>
        </w:rPr>
        <w:t>is a VXS payload module with a physical</w:t>
      </w:r>
      <w:r>
        <w:rPr>
          <w:bCs/>
        </w:rPr>
        <w:t xml:space="preserve"> size of 6Ux160mm.  Its main function is to fan out the trigger, clock and SYNC signals </w:t>
      </w:r>
      <w:r w:rsidR="00E52DF8">
        <w:rPr>
          <w:bCs/>
        </w:rPr>
        <w:t xml:space="preserve">and to collect the front end crate status information </w:t>
      </w:r>
      <w:r>
        <w:rPr>
          <w:bCs/>
        </w:rPr>
        <w:t>usi</w:t>
      </w:r>
      <w:r w:rsidR="00E52DF8">
        <w:rPr>
          <w:bCs/>
        </w:rPr>
        <w:t>ng the optical fibres.  Figure 7</w:t>
      </w:r>
      <w:r>
        <w:rPr>
          <w:bCs/>
        </w:rPr>
        <w:t xml:space="preserve"> is a picture of the TD board.</w:t>
      </w:r>
    </w:p>
    <w:p w:rsidR="004C7CA7" w:rsidRDefault="00453318" w:rsidP="004C7CA7">
      <w:pPr>
        <w:pStyle w:val="MAINBODY"/>
        <w:keepNext/>
        <w:spacing w:line="480" w:lineRule="auto"/>
      </w:pPr>
      <w:r>
        <w:rPr>
          <w:noProof/>
          <w:lang w:val="en-US"/>
        </w:rPr>
        <w:drawing>
          <wp:inline distT="0" distB="0" distL="0" distR="0">
            <wp:extent cx="5392287" cy="4166386"/>
            <wp:effectExtent l="19050" t="0" r="0" b="0"/>
            <wp:docPr id="19" name="Picture 18" descr="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jpg"/>
                    <pic:cNvPicPr/>
                  </pic:nvPicPr>
                  <pic:blipFill>
                    <a:blip r:embed="rId16" cstate="print"/>
                    <a:stretch>
                      <a:fillRect/>
                    </a:stretch>
                  </pic:blipFill>
                  <pic:spPr>
                    <a:xfrm>
                      <a:off x="0" y="0"/>
                      <a:ext cx="5393637" cy="4167429"/>
                    </a:xfrm>
                    <a:prstGeom prst="rect">
                      <a:avLst/>
                    </a:prstGeom>
                  </pic:spPr>
                </pic:pic>
              </a:graphicData>
            </a:graphic>
          </wp:inline>
        </w:drawing>
      </w:r>
    </w:p>
    <w:p w:rsidR="004C7CA7" w:rsidRDefault="004C7CA7" w:rsidP="004C7CA7">
      <w:pPr>
        <w:pStyle w:val="Caption"/>
        <w:jc w:val="both"/>
      </w:pPr>
      <w:bookmarkStart w:id="6" w:name="_Toc298402131"/>
      <w:r>
        <w:t xml:space="preserve">Figure </w:t>
      </w:r>
      <w:fldSimple w:instr=" SEQ Figure \* ARABIC ">
        <w:r w:rsidR="00CD6839">
          <w:rPr>
            <w:noProof/>
          </w:rPr>
          <w:t>7</w:t>
        </w:r>
      </w:fldSimple>
      <w:r>
        <w:t xml:space="preserve"> Trigger Distribution (TD) board.</w:t>
      </w:r>
      <w:bookmarkEnd w:id="6"/>
    </w:p>
    <w:p w:rsidR="003856FF" w:rsidRPr="003856FF" w:rsidRDefault="003856FF" w:rsidP="003856FF">
      <w:pPr>
        <w:rPr>
          <w:lang w:val="en-US"/>
        </w:rPr>
      </w:pPr>
    </w:p>
    <w:p w:rsidR="00E524EB" w:rsidRDefault="003856FF" w:rsidP="00B52015">
      <w:pPr>
        <w:pStyle w:val="MAINBODY"/>
        <w:spacing w:line="480" w:lineRule="auto"/>
        <w:rPr>
          <w:bCs/>
        </w:rPr>
      </w:pPr>
      <w:r>
        <w:rPr>
          <w:bCs/>
        </w:rPr>
        <w:t>The TD receives the trigger, clock and SYNC signals through the P0 connector from TS via SD</w:t>
      </w:r>
      <w:r w:rsidR="00E52DF8">
        <w:rPr>
          <w:bCs/>
        </w:rPr>
        <w:t xml:space="preserve"> fan out</w:t>
      </w:r>
      <w:r>
        <w:rPr>
          <w:bCs/>
        </w:rPr>
        <w:t>.  The</w:t>
      </w:r>
      <w:r w:rsidR="00E52DF8">
        <w:rPr>
          <w:bCs/>
        </w:rPr>
        <w:t xml:space="preserve"> trigger signal is re-sampled using the Analog Devices’</w:t>
      </w:r>
      <w:r>
        <w:rPr>
          <w:bCs/>
        </w:rPr>
        <w:t xml:space="preserve"> AD</w:t>
      </w:r>
      <w:r w:rsidR="0041760E">
        <w:rPr>
          <w:bCs/>
        </w:rPr>
        <w:t>N</w:t>
      </w:r>
      <w:r>
        <w:rPr>
          <w:bCs/>
        </w:rPr>
        <w:t>2805 component.  The trigger, clock and SYNC signals are fanned out to eight o</w:t>
      </w:r>
      <w:r w:rsidR="00E524EB">
        <w:rPr>
          <w:bCs/>
        </w:rPr>
        <w:t>ptical transceiver</w:t>
      </w:r>
      <w:r>
        <w:rPr>
          <w:bCs/>
        </w:rPr>
        <w:t xml:space="preserve">s (Avago HFBR-7924).  Each optical transceiver drives </w:t>
      </w:r>
      <w:r w:rsidR="00185E23">
        <w:rPr>
          <w:bCs/>
        </w:rPr>
        <w:t xml:space="preserve">a set of fibers, and connects to one TI board in the front end crate.  </w:t>
      </w:r>
    </w:p>
    <w:p w:rsidR="0045611C" w:rsidRDefault="0045611C" w:rsidP="00B52015">
      <w:pPr>
        <w:pStyle w:val="MAINBODY"/>
        <w:spacing w:line="480" w:lineRule="auto"/>
        <w:rPr>
          <w:bCs/>
        </w:rPr>
      </w:pPr>
      <w:r>
        <w:rPr>
          <w:bCs/>
        </w:rPr>
        <w:t>The TD also receives the status from eight TI</w:t>
      </w:r>
      <w:r w:rsidR="0041760E">
        <w:rPr>
          <w:bCs/>
        </w:rPr>
        <w:t xml:space="preserve"> boards</w:t>
      </w:r>
      <w:r>
        <w:rPr>
          <w:bCs/>
        </w:rPr>
        <w:t xml:space="preserve"> through the optical transceivers.  The status words are deserialized by the FPGA builtin </w:t>
      </w:r>
      <w:r w:rsidR="00E52DF8">
        <w:rPr>
          <w:bCs/>
        </w:rPr>
        <w:t>MGT</w:t>
      </w:r>
      <w:r>
        <w:rPr>
          <w:bCs/>
        </w:rPr>
        <w:t xml:space="preserve"> modules.  The status words include the front end crate (the crate that TI resides) BUSY, readout acknowledge, trigger received, and some other status.  The TD merges the BUSY signals from eight TI boards, and sends to the SD, then </w:t>
      </w:r>
      <w:r w:rsidR="0041760E">
        <w:rPr>
          <w:bCs/>
        </w:rPr>
        <w:t xml:space="preserve">the SD sends the BUSY </w:t>
      </w:r>
      <w:r>
        <w:rPr>
          <w:bCs/>
        </w:rPr>
        <w:t xml:space="preserve">to the TS.  The TD can assert the BUSY if the </w:t>
      </w:r>
      <w:r w:rsidR="0041760E">
        <w:rPr>
          <w:bCs/>
        </w:rPr>
        <w:t>number of events buffered at the front-end crate</w:t>
      </w:r>
      <w:r w:rsidR="008048BC">
        <w:rPr>
          <w:bCs/>
        </w:rPr>
        <w:t xml:space="preserve">, which is the </w:t>
      </w:r>
      <w:r>
        <w:rPr>
          <w:bCs/>
        </w:rPr>
        <w:t>difference between the number of triggers it fans out and the number of readout the front</w:t>
      </w:r>
      <w:r w:rsidR="00E52DF8">
        <w:rPr>
          <w:bCs/>
        </w:rPr>
        <w:t xml:space="preserve"> end crate performed</w:t>
      </w:r>
      <w:r w:rsidR="008048BC">
        <w:rPr>
          <w:bCs/>
        </w:rPr>
        <w:t>,</w:t>
      </w:r>
      <w:r w:rsidR="00E52DF8">
        <w:rPr>
          <w:bCs/>
        </w:rPr>
        <w:t xml:space="preserve"> is over a</w:t>
      </w:r>
      <w:r>
        <w:rPr>
          <w:bCs/>
        </w:rPr>
        <w:t xml:space="preserve"> preset limit.</w:t>
      </w:r>
      <w:r w:rsidR="00E52DF8">
        <w:rPr>
          <w:bCs/>
        </w:rPr>
        <w:t xml:space="preserve">  The logic is </w:t>
      </w:r>
      <w:r w:rsidR="00E52DF8">
        <w:rPr>
          <w:bCs/>
        </w:rPr>
        <w:lastRenderedPageBreak/>
        <w:t xml:space="preserve">used to limit the number of </w:t>
      </w:r>
      <w:r w:rsidR="008048BC">
        <w:rPr>
          <w:bCs/>
        </w:rPr>
        <w:t>events</w:t>
      </w:r>
      <w:r w:rsidR="00E52DF8">
        <w:rPr>
          <w:bCs/>
        </w:rPr>
        <w:t xml:space="preserve"> buffered on the front end electronics, </w:t>
      </w:r>
      <w:r w:rsidR="008048BC">
        <w:rPr>
          <w:bCs/>
        </w:rPr>
        <w:t>or</w:t>
      </w:r>
      <w:r w:rsidR="00E52DF8">
        <w:rPr>
          <w:bCs/>
        </w:rPr>
        <w:t xml:space="preserve"> the buffer usage on the front end electronics.</w:t>
      </w:r>
      <w:r w:rsidR="008048BC">
        <w:rPr>
          <w:bCs/>
        </w:rPr>
        <w:t xml:space="preserve">  The special case is the event locking readout mode when the preset limit is one.</w:t>
      </w:r>
    </w:p>
    <w:p w:rsidR="002F311C" w:rsidRDefault="002F311C" w:rsidP="002F311C">
      <w:pPr>
        <w:pStyle w:val="MAINBODY"/>
        <w:spacing w:line="480" w:lineRule="auto"/>
      </w:pPr>
      <w:r>
        <w:t>The T</w:t>
      </w:r>
      <w:r w:rsidR="00756007">
        <w:t>D</w:t>
      </w:r>
      <w:r>
        <w:t xml:space="preserve"> </w:t>
      </w:r>
      <w:r w:rsidR="00E52DF8">
        <w:t>board uses a</w:t>
      </w:r>
      <w:r>
        <w:t xml:space="preserve"> Xilinx XC5V</w:t>
      </w:r>
      <w:r w:rsidR="00756007">
        <w:t>L</w:t>
      </w:r>
      <w:r>
        <w:t>X</w:t>
      </w:r>
      <w:r w:rsidR="00E52DF8">
        <w:t>30</w:t>
      </w:r>
      <w:r>
        <w:t>T-</w:t>
      </w:r>
      <w:r w:rsidR="00756007">
        <w:t>665</w:t>
      </w:r>
      <w:r w:rsidR="00E52DF8">
        <w:t xml:space="preserve"> FPGA</w:t>
      </w:r>
      <w:r w:rsidR="00756007">
        <w:t xml:space="preserve">.  </w:t>
      </w:r>
      <w:r w:rsidR="00E52DF8">
        <w:t>The FPGA</w:t>
      </w:r>
      <w:r w:rsidR="00756007">
        <w:t xml:space="preserve"> needs </w:t>
      </w:r>
      <w:r w:rsidR="00E52DF8">
        <w:t xml:space="preserve">about </w:t>
      </w:r>
      <w:r>
        <w:t>9</w:t>
      </w:r>
      <w:r w:rsidR="00E52DF8">
        <w:t xml:space="preserve"> </w:t>
      </w:r>
      <w:r>
        <w:t xml:space="preserve">Mbit of uncompressed data to configure the FPGA.  A XCF32P PROM is used to configure the FPGA.  When the FPGA bits are </w:t>
      </w:r>
      <w:r w:rsidR="00756007">
        <w:t xml:space="preserve">not compressed, the PROM can hold two versions of the </w:t>
      </w:r>
      <w:r w:rsidR="008048BC">
        <w:t xml:space="preserve">FPGA </w:t>
      </w:r>
      <w:r w:rsidR="00756007">
        <w:t xml:space="preserve">firmware, and the FPGA can be programmed in parallel mode or serial mode.  When the FPGA program bits are </w:t>
      </w:r>
      <w:r>
        <w:t xml:space="preserve">compressed, the PROM can hold </w:t>
      </w:r>
      <w:r w:rsidR="00756007">
        <w:t>four</w:t>
      </w:r>
      <w:r>
        <w:t xml:space="preserve"> versions of the firmware.  This </w:t>
      </w:r>
      <w:r w:rsidR="00756007">
        <w:t xml:space="preserve">multiple </w:t>
      </w:r>
      <w:r>
        <w:t>versions design makes switching the T</w:t>
      </w:r>
      <w:r w:rsidR="00756007">
        <w:t>D operation mode very easily.</w:t>
      </w:r>
    </w:p>
    <w:p w:rsidR="002F311C" w:rsidRDefault="002F311C" w:rsidP="002F311C">
      <w:pPr>
        <w:pStyle w:val="MAINBODY"/>
        <w:spacing w:line="480" w:lineRule="auto"/>
      </w:pPr>
      <w:r>
        <w:t xml:space="preserve">The PROM can be loaded remotely by VME command.  </w:t>
      </w:r>
      <w:r w:rsidR="00756007">
        <w:t xml:space="preserve">The </w:t>
      </w:r>
      <w:r w:rsidR="008048BC">
        <w:t>mechanism</w:t>
      </w:r>
      <w:r w:rsidR="00756007">
        <w:t xml:space="preserve"> is the same as that implemented on the TS</w:t>
      </w:r>
      <w:r>
        <w:t xml:space="preserve">.  </w:t>
      </w:r>
      <w:r w:rsidR="00756007">
        <w:t>For the details, refer to the TS design description.  Though the TD and TS are residing in the same crate, the TD and TS are in different slots and they have their own geographic addresse</w:t>
      </w:r>
      <w:r w:rsidR="00FB2107">
        <w:t>s</w:t>
      </w:r>
      <w:r w:rsidR="00756007">
        <w:t xml:space="preserve"> as defined by the VME64x protocol, there will be no confusion between TS and TD in the VME operation.</w:t>
      </w:r>
    </w:p>
    <w:p w:rsidR="00602002" w:rsidRDefault="00E524EB" w:rsidP="00B52015">
      <w:pPr>
        <w:pStyle w:val="Subheadings"/>
        <w:spacing w:line="480" w:lineRule="auto"/>
        <w:rPr>
          <w:i w:val="0"/>
        </w:rPr>
      </w:pPr>
      <w:r>
        <w:t>Trigger Interface (TI) board</w:t>
      </w:r>
    </w:p>
    <w:p w:rsidR="00E524EB" w:rsidRDefault="00E524EB" w:rsidP="00E524EB">
      <w:pPr>
        <w:pStyle w:val="Sub-subheadings"/>
        <w:spacing w:line="480" w:lineRule="auto"/>
      </w:pPr>
      <w:r>
        <w:t>TI Overview</w:t>
      </w:r>
    </w:p>
    <w:p w:rsidR="00E524EB" w:rsidRDefault="00E524EB" w:rsidP="00E524EB">
      <w:pPr>
        <w:pStyle w:val="MAINBODY"/>
        <w:spacing w:line="480" w:lineRule="auto"/>
      </w:pPr>
      <w:r>
        <w:t xml:space="preserve">TI </w:t>
      </w:r>
      <w:r w:rsidR="001E5196">
        <w:t>is designed as a VXS payload slot#18 board with a physical s</w:t>
      </w:r>
      <w:r w:rsidR="003B2F97">
        <w:t xml:space="preserve">ize of 6Ux160mm.  It receives </w:t>
      </w:r>
      <w:r>
        <w:t>the trigger</w:t>
      </w:r>
      <w:r w:rsidR="003B2F97">
        <w:t>,</w:t>
      </w:r>
      <w:r>
        <w:t xml:space="preserve"> clock</w:t>
      </w:r>
      <w:r w:rsidR="003B2F97">
        <w:t>,</w:t>
      </w:r>
      <w:r>
        <w:t xml:space="preserve"> </w:t>
      </w:r>
      <w:r w:rsidR="003B2F97">
        <w:t xml:space="preserve">and </w:t>
      </w:r>
      <w:r w:rsidR="003B11BE">
        <w:t>SYNC signals from TD</w:t>
      </w:r>
      <w:r w:rsidR="008048BC">
        <w:t>.  It</w:t>
      </w:r>
      <w:r w:rsidR="003B11BE">
        <w:t xml:space="preserve"> decodes the trigger and SYNC, and sends them</w:t>
      </w:r>
      <w:r>
        <w:t xml:space="preserve"> to SD </w:t>
      </w:r>
      <w:r w:rsidR="003B2F97">
        <w:t xml:space="preserve">then </w:t>
      </w:r>
      <w:r>
        <w:t>to the whole front end crate</w:t>
      </w:r>
      <w:r w:rsidR="003B2F97">
        <w:t xml:space="preserve">.  </w:t>
      </w:r>
      <w:r>
        <w:t xml:space="preserve">Each </w:t>
      </w:r>
      <w:r w:rsidR="003B2F97">
        <w:t xml:space="preserve">front end </w:t>
      </w:r>
      <w:r>
        <w:t>crate has one TI</w:t>
      </w:r>
      <w:r w:rsidR="003B2F97">
        <w:t xml:space="preserve">.  To optimize the system design, the TI </w:t>
      </w:r>
      <w:r>
        <w:t xml:space="preserve">shares the same PCB </w:t>
      </w:r>
      <w:r w:rsidR="003B2F97">
        <w:t xml:space="preserve">with the TD, but the components are populated differently.  Figure </w:t>
      </w:r>
      <w:r w:rsidR="003B11BE">
        <w:t>8</w:t>
      </w:r>
      <w:r w:rsidR="003B2F97">
        <w:t xml:space="preserve"> shows a picture of the TI.  The TI and TD are using the same FPGA</w:t>
      </w:r>
      <w:r w:rsidR="003B11BE">
        <w:t>, Xilinx XC5VLX30T</w:t>
      </w:r>
      <w:r w:rsidR="00D97C99">
        <w:t xml:space="preserve">, </w:t>
      </w:r>
      <w:r w:rsidR="008048BC">
        <w:t>though</w:t>
      </w:r>
      <w:r w:rsidR="00D97C99">
        <w:t xml:space="preserve"> their firmware is different.</w:t>
      </w:r>
    </w:p>
    <w:p w:rsidR="003B2F97" w:rsidRDefault="00FE1951" w:rsidP="003B2F97">
      <w:pPr>
        <w:pStyle w:val="MAINBODY"/>
        <w:keepNext/>
        <w:spacing w:line="480" w:lineRule="auto"/>
      </w:pPr>
      <w:r>
        <w:rPr>
          <w:noProof/>
          <w:lang w:val="en-US"/>
        </w:rPr>
        <w:lastRenderedPageBreak/>
        <w:drawing>
          <wp:inline distT="0" distB="0" distL="0" distR="0">
            <wp:extent cx="5419583" cy="4079999"/>
            <wp:effectExtent l="19050" t="0" r="0" b="0"/>
            <wp:docPr id="20" name="Picture 19" desc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g"/>
                    <pic:cNvPicPr/>
                  </pic:nvPicPr>
                  <pic:blipFill>
                    <a:blip r:embed="rId17" cstate="print"/>
                    <a:stretch>
                      <a:fillRect/>
                    </a:stretch>
                  </pic:blipFill>
                  <pic:spPr>
                    <a:xfrm>
                      <a:off x="0" y="0"/>
                      <a:ext cx="5422262" cy="4082016"/>
                    </a:xfrm>
                    <a:prstGeom prst="rect">
                      <a:avLst/>
                    </a:prstGeom>
                  </pic:spPr>
                </pic:pic>
              </a:graphicData>
            </a:graphic>
          </wp:inline>
        </w:drawing>
      </w:r>
    </w:p>
    <w:p w:rsidR="003B2F97" w:rsidRDefault="003B2F97" w:rsidP="003B2F97">
      <w:pPr>
        <w:pStyle w:val="Caption"/>
        <w:jc w:val="both"/>
      </w:pPr>
      <w:bookmarkStart w:id="7" w:name="_Toc298402132"/>
      <w:r>
        <w:t xml:space="preserve">Figure </w:t>
      </w:r>
      <w:fldSimple w:instr=" SEQ Figure \* ARABIC ">
        <w:r w:rsidR="00CD6839">
          <w:rPr>
            <w:noProof/>
          </w:rPr>
          <w:t>8</w:t>
        </w:r>
      </w:fldSimple>
      <w:r>
        <w:t xml:space="preserve"> Trigger Interface card.  The TI shares the same PCB design as TD, but the components are populated differently from the TD.</w:t>
      </w:r>
      <w:bookmarkEnd w:id="7"/>
    </w:p>
    <w:p w:rsidR="003B11BE" w:rsidRPr="003B11BE" w:rsidRDefault="003B11BE" w:rsidP="003B11BE">
      <w:pPr>
        <w:rPr>
          <w:lang w:val="en-US"/>
        </w:rPr>
      </w:pPr>
    </w:p>
    <w:p w:rsidR="003B2F97" w:rsidRPr="003B2F97" w:rsidRDefault="003B11BE" w:rsidP="003B11BE">
      <w:pPr>
        <w:pStyle w:val="MAINBODY"/>
        <w:spacing w:line="480" w:lineRule="auto"/>
        <w:rPr>
          <w:lang w:val="en-US"/>
        </w:rPr>
      </w:pPr>
      <w:r>
        <w:t>In addition to its basic functions, the TI has to be flexible enough to setup a small system for system commissio</w:t>
      </w:r>
      <w:r w:rsidR="008048BC">
        <w:t>ning without the TS.  The shar</w:t>
      </w:r>
      <w:r>
        <w:t xml:space="preserve">ed PCB design makes this possible. </w:t>
      </w:r>
    </w:p>
    <w:p w:rsidR="00E524EB" w:rsidRDefault="00FB2CB6" w:rsidP="00E524EB">
      <w:pPr>
        <w:pStyle w:val="Sub-subheadings"/>
        <w:spacing w:line="480" w:lineRule="auto"/>
      </w:pPr>
      <w:r>
        <w:t xml:space="preserve">TI </w:t>
      </w:r>
      <w:r w:rsidR="00E524EB">
        <w:t>Design</w:t>
      </w:r>
    </w:p>
    <w:p w:rsidR="001A04FD" w:rsidRDefault="008048BC" w:rsidP="00E524EB">
      <w:pPr>
        <w:pStyle w:val="MAINBODY"/>
        <w:spacing w:line="480" w:lineRule="auto"/>
      </w:pPr>
      <w:r>
        <w:t xml:space="preserve">The </w:t>
      </w:r>
      <w:r w:rsidR="003B11BE">
        <w:t xml:space="preserve">Avago’s HFBR-7924 four channel optical transceiver </w:t>
      </w:r>
      <w:r>
        <w:t>is used on TI to receive the fiber</w:t>
      </w:r>
      <w:r w:rsidR="003B11BE">
        <w:t xml:space="preserve"> signals from TD.  There are two optical receivers on each TI.  One </w:t>
      </w:r>
      <w:r>
        <w:t>is</w:t>
      </w:r>
      <w:r w:rsidR="003B11BE">
        <w:t xml:space="preserve"> used for global trigger, while the other could be used for subsystem trigger.  By connecting some TI boards to the same subsystem TS, the TI can </w:t>
      </w:r>
      <w:r>
        <w:t>be</w:t>
      </w:r>
      <w:r w:rsidR="003B11BE">
        <w:t xml:space="preserve"> grouped toget</w:t>
      </w:r>
      <w:r>
        <w:t>her as a subsystem.  The f</w:t>
      </w:r>
      <w:r w:rsidR="001A04FD">
        <w:t>igure 9 shows the diagram of the TI functions.</w:t>
      </w:r>
    </w:p>
    <w:p w:rsidR="002835FA" w:rsidRDefault="002C7429" w:rsidP="002835FA">
      <w:pPr>
        <w:pStyle w:val="MAINBODY"/>
        <w:keepNext/>
        <w:spacing w:line="480" w:lineRule="auto"/>
      </w:pPr>
      <w:r>
        <w:rPr>
          <w:noProof/>
          <w:lang w:val="en-US"/>
        </w:rPr>
        <w:lastRenderedPageBreak/>
        <w:drawing>
          <wp:inline distT="0" distB="0" distL="0" distR="0">
            <wp:extent cx="5446517" cy="4244454"/>
            <wp:effectExtent l="19050" t="0" r="1783" b="0"/>
            <wp:docPr id="21" name="Picture 20" descr="TI_blo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_block.tif"/>
                    <pic:cNvPicPr/>
                  </pic:nvPicPr>
                  <pic:blipFill>
                    <a:blip r:embed="rId18" cstate="print"/>
                    <a:srcRect l="2000" r="3000" b="1333"/>
                    <a:stretch>
                      <a:fillRect/>
                    </a:stretch>
                  </pic:blipFill>
                  <pic:spPr>
                    <a:xfrm>
                      <a:off x="0" y="0"/>
                      <a:ext cx="5446517" cy="4244454"/>
                    </a:xfrm>
                    <a:prstGeom prst="rect">
                      <a:avLst/>
                    </a:prstGeom>
                  </pic:spPr>
                </pic:pic>
              </a:graphicData>
            </a:graphic>
          </wp:inline>
        </w:drawing>
      </w:r>
    </w:p>
    <w:p w:rsidR="001A04FD" w:rsidRDefault="002835FA" w:rsidP="002835FA">
      <w:pPr>
        <w:pStyle w:val="Caption"/>
        <w:jc w:val="both"/>
      </w:pPr>
      <w:bookmarkStart w:id="8" w:name="_Toc298402133"/>
      <w:r>
        <w:t xml:space="preserve">Figure </w:t>
      </w:r>
      <w:fldSimple w:instr=" SEQ Figure \* ARABIC ">
        <w:r w:rsidR="00CD6839">
          <w:rPr>
            <w:noProof/>
          </w:rPr>
          <w:t>9</w:t>
        </w:r>
      </w:fldSimple>
      <w:r>
        <w:t xml:space="preserve"> Trigger Interface card functional diagram</w:t>
      </w:r>
      <w:bookmarkEnd w:id="8"/>
    </w:p>
    <w:p w:rsidR="002835FA" w:rsidRPr="002835FA" w:rsidRDefault="002835FA" w:rsidP="002835FA">
      <w:pPr>
        <w:rPr>
          <w:lang w:val="en-US"/>
        </w:rPr>
      </w:pPr>
    </w:p>
    <w:p w:rsidR="003C67EA" w:rsidRDefault="008048BC" w:rsidP="007F4DE8">
      <w:pPr>
        <w:pStyle w:val="MAINBODY"/>
        <w:spacing w:line="480" w:lineRule="auto"/>
      </w:pPr>
      <w:r>
        <w:t xml:space="preserve">Analog Devices’ AD9510 is used for clock distribution and lower speed clock generation.  SYNC command is used to reset the AD9510 so </w:t>
      </w:r>
      <w:r w:rsidR="008319F4">
        <w:t>t</w:t>
      </w:r>
      <w:r w:rsidR="00F83756">
        <w:t xml:space="preserve">he AD9510 clock output phase is determined by the timing of SYNC signal.  </w:t>
      </w:r>
      <w:r w:rsidR="003C67EA">
        <w:t>As</w:t>
      </w:r>
      <w:r w:rsidR="00F83756">
        <w:t xml:space="preserve"> the SYNC </w:t>
      </w:r>
      <w:r w:rsidR="00FB3C86">
        <w:t>is</w:t>
      </w:r>
      <w:r w:rsidR="00F83756">
        <w:t xml:space="preserve"> encoded in phase</w:t>
      </w:r>
      <w:r w:rsidR="003C67EA">
        <w:t xml:space="preserve"> with the slower clock on the TS, the clock</w:t>
      </w:r>
      <w:r w:rsidR="00F83756">
        <w:t xml:space="preserve"> </w:t>
      </w:r>
      <w:r w:rsidR="003C67EA">
        <w:t>sync command can synchronize the TI slower clock with the TS slower clock</w:t>
      </w:r>
      <w:r w:rsidR="008319F4">
        <w:t>.</w:t>
      </w:r>
      <w:r w:rsidR="003C67EA">
        <w:t xml:space="preserve">  </w:t>
      </w:r>
      <w:r w:rsidR="00F83756">
        <w:t xml:space="preserve">This means that all the slower clocks (derived from the 250MHz main clock) </w:t>
      </w:r>
      <w:r w:rsidR="00FB3C86">
        <w:t xml:space="preserve">on TI boards </w:t>
      </w:r>
      <w:r w:rsidR="00F83756">
        <w:t>are in phase with each other</w:t>
      </w:r>
      <w:r w:rsidR="008319F4">
        <w:t>, which</w:t>
      </w:r>
      <w:r w:rsidR="003C67EA">
        <w:t xml:space="preserve"> is important for the TI to decode t</w:t>
      </w:r>
      <w:r w:rsidR="008319F4">
        <w:t>he trigger in the 4ns precision and trigger synchronization across different front end crates.</w:t>
      </w:r>
    </w:p>
    <w:p w:rsidR="00602002" w:rsidRDefault="00F1596E" w:rsidP="00B52015">
      <w:pPr>
        <w:pStyle w:val="Sub-subheadings"/>
        <w:spacing w:line="480" w:lineRule="auto"/>
      </w:pPr>
      <w:r>
        <w:t xml:space="preserve">TI  </w:t>
      </w:r>
      <w:r w:rsidR="00602002">
        <w:t>FPGA</w:t>
      </w:r>
      <w:r w:rsidR="00F83756">
        <w:t xml:space="preserve"> and TI Data</w:t>
      </w:r>
    </w:p>
    <w:p w:rsidR="00291553" w:rsidRDefault="008319F4" w:rsidP="00B52015">
      <w:pPr>
        <w:pStyle w:val="MAINBODY"/>
        <w:spacing w:line="480" w:lineRule="auto"/>
      </w:pPr>
      <w:r>
        <w:t>One</w:t>
      </w:r>
      <w:r w:rsidR="00291553">
        <w:t xml:space="preserve"> Xilinx XC5VLX30T FPGA is used on the TI board.  </w:t>
      </w:r>
      <w:r w:rsidR="00FB3C86">
        <w:rPr>
          <w:lang w:val="en-US"/>
        </w:rPr>
        <w:t>The FPGA has three main functional blocks: VME interface, Trigger control and event assembly, and Sync control and BUSY monitoring.   Each part will be briefly described in the following paragraphs</w:t>
      </w:r>
      <w:r>
        <w:t>.</w:t>
      </w:r>
    </w:p>
    <w:p w:rsidR="00C51B74" w:rsidRDefault="00C51B74" w:rsidP="00B52015">
      <w:pPr>
        <w:pStyle w:val="MAINBODY"/>
        <w:spacing w:line="480" w:lineRule="auto"/>
      </w:pPr>
      <w:r>
        <w:t>The VME interface is responsible for the slow control of the TI and the switch slots boards and the TI data readout.  As there is no VME bus access to the switch slot in the VXS crate, a VME to I</w:t>
      </w:r>
      <w:r w:rsidRPr="008319F4">
        <w:rPr>
          <w:vertAlign w:val="superscript"/>
        </w:rPr>
        <w:t>2</w:t>
      </w:r>
      <w:r>
        <w:t xml:space="preserve">C engine is implemented on the TI for each switch slot.  Two VME to JTAG engines are implemented to connect to the </w:t>
      </w:r>
      <w:r w:rsidR="008D696D">
        <w:t xml:space="preserve">FPGA </w:t>
      </w:r>
      <w:r w:rsidR="008319F4">
        <w:t xml:space="preserve">JTAG port </w:t>
      </w:r>
      <w:r w:rsidR="008D696D">
        <w:t>and PROM JTAG port.  Through the JTAG ports, th</w:t>
      </w:r>
      <w:r w:rsidR="008319F4">
        <w:t>e</w:t>
      </w:r>
      <w:r w:rsidR="008D696D">
        <w:t xml:space="preserve"> board type and firmware versions</w:t>
      </w:r>
      <w:r w:rsidR="008319F4" w:rsidRPr="008319F4">
        <w:t xml:space="preserve"> </w:t>
      </w:r>
      <w:r w:rsidR="008319F4">
        <w:t xml:space="preserve">can </w:t>
      </w:r>
      <w:r w:rsidR="008319F4">
        <w:lastRenderedPageBreak/>
        <w:t>be verified by reading out the chip code and user code</w:t>
      </w:r>
      <w:r w:rsidR="008D696D">
        <w:t>.  The TI also initiates the front end crate data readout through VME bus.  The TI data is readout through VME.</w:t>
      </w:r>
      <w:r w:rsidR="00FB3C86">
        <w:t xml:space="preserve">  The data  can be readout in simple single A32D32 VME transfer, </w:t>
      </w:r>
      <w:r w:rsidR="0074169E">
        <w:t xml:space="preserve">block transfer mode, or </w:t>
      </w:r>
      <w:r w:rsidR="00FB3C86">
        <w:t>2eSST mode.</w:t>
      </w:r>
    </w:p>
    <w:p w:rsidR="005607C6" w:rsidRDefault="005607C6" w:rsidP="00B52015">
      <w:pPr>
        <w:pStyle w:val="MAINBODY"/>
        <w:spacing w:line="480" w:lineRule="auto"/>
      </w:pPr>
      <w:r>
        <w:t xml:space="preserve">Using the Xilinx FPGA’s built in </w:t>
      </w:r>
      <w:r w:rsidR="00FB3C86">
        <w:t>MGT tran</w:t>
      </w:r>
      <w:r>
        <w:t xml:space="preserve">sceivers, the trigger </w:t>
      </w:r>
      <w:r w:rsidR="0074169E">
        <w:t>word</w:t>
      </w:r>
      <w:r>
        <w:t xml:space="preserve"> is deserialized</w:t>
      </w:r>
      <w:r w:rsidR="00F0723A">
        <w:t xml:space="preserve">.  The trigger signal and </w:t>
      </w:r>
      <w:r>
        <w:t xml:space="preserve">trigger timing information are extracted.  The trigger signal is sent out to the front end electronics in the crate using P0 connector and SD board.  </w:t>
      </w:r>
      <w:r w:rsidR="0013041D">
        <w:t>Meanwhile, the TI can assemble its own event data based on the trigger received.  Upon receiving trigger signal, it will initiate ROC readout by either asserting the</w:t>
      </w:r>
      <w:r w:rsidR="00FB3C86">
        <w:t xml:space="preserve"> VME</w:t>
      </w:r>
      <w:r w:rsidR="0013041D">
        <w:t xml:space="preserve"> Interrupt Request, or setting a polling register.  After the ROC finish</w:t>
      </w:r>
      <w:r w:rsidR="00FB3C86">
        <w:t>es</w:t>
      </w:r>
      <w:r w:rsidR="0013041D">
        <w:t xml:space="preserve"> the crate readout, </w:t>
      </w:r>
      <w:r w:rsidR="00FB3C86">
        <w:t xml:space="preserve">the </w:t>
      </w:r>
      <w:r w:rsidR="0013041D">
        <w:t>ROC will acknowledge to the TI that the readout has finished.  The TI event data includes the trigger number (or event number), trigger time stamp, and trigger type information.  The TI data will be used onl</w:t>
      </w:r>
      <w:r w:rsidR="0074169E">
        <w:t>ine for detector event assembly, and event synchronization check.</w:t>
      </w:r>
    </w:p>
    <w:p w:rsidR="0013041D" w:rsidRDefault="0013041D" w:rsidP="00B52015">
      <w:pPr>
        <w:pStyle w:val="MAINBODY"/>
        <w:spacing w:line="480" w:lineRule="auto"/>
      </w:pPr>
      <w:r>
        <w:t xml:space="preserve">The third function of the FPGA is the SYNC control and BUSY monitoring.  Using the IODELAY </w:t>
      </w:r>
      <w:r w:rsidR="00F07EF3">
        <w:t xml:space="preserve">of the FPGA, it can automatically align the SYNC </w:t>
      </w:r>
      <w:r w:rsidR="00FB3C86">
        <w:t xml:space="preserve">signal </w:t>
      </w:r>
      <w:r w:rsidR="00F07EF3">
        <w:t xml:space="preserve">phase to the </w:t>
      </w:r>
      <w:r w:rsidR="0074169E">
        <w:t>250 MHz main clock</w:t>
      </w:r>
      <w:r w:rsidR="00F07EF3">
        <w:t xml:space="preserve">.  By looping back from the TD, </w:t>
      </w:r>
      <w:r w:rsidR="00FB3C86">
        <w:t xml:space="preserve">the fiber latency can be </w:t>
      </w:r>
      <w:r w:rsidR="00F07EF3">
        <w:t>measure</w:t>
      </w:r>
      <w:r w:rsidR="00FB3C86">
        <w:t>d with a precision of less than 1 ns</w:t>
      </w:r>
      <w:r w:rsidR="00F07EF3">
        <w:t>.  The SYNC will be delayed to compensate for the fiber latency, so all the TIs will receive the SYNC command at the same time</w:t>
      </w:r>
      <w:r w:rsidR="0057444D">
        <w:t xml:space="preserve"> with the exception of clock skews</w:t>
      </w:r>
      <w:r w:rsidR="00F07EF3">
        <w:t xml:space="preserve">.  The TI </w:t>
      </w:r>
      <w:r w:rsidR="00857F8A">
        <w:t>will decode the SYNC command.  It sends the resets (one of the decoded SYNC commands) to the other modules in the crate through SD</w:t>
      </w:r>
      <w:r w:rsidR="0074169E">
        <w:t xml:space="preserve"> via P0 backplane</w:t>
      </w:r>
      <w:r w:rsidR="00857F8A">
        <w:t>.  The TI combines the BUSY from SD, which is the merged BUSY</w:t>
      </w:r>
      <w:r w:rsidR="0074169E">
        <w:t xml:space="preserve"> signal</w:t>
      </w:r>
      <w:r w:rsidR="00857F8A">
        <w:t>s from front end modules, and the BUSY status of itself.  T</w:t>
      </w:r>
      <w:r w:rsidR="009E61C6">
        <w:t xml:space="preserve">ogether with other TI status, </w:t>
      </w:r>
      <w:r w:rsidR="00857F8A">
        <w:t>TI send</w:t>
      </w:r>
      <w:r w:rsidR="009E61C6">
        <w:t>s</w:t>
      </w:r>
      <w:r w:rsidR="00857F8A">
        <w:t xml:space="preserve"> the BUSY through </w:t>
      </w:r>
      <w:r w:rsidR="009E61C6">
        <w:t>MGT</w:t>
      </w:r>
      <w:r w:rsidR="00857F8A">
        <w:t xml:space="preserve"> to the TD through the optical fiber link.  </w:t>
      </w:r>
    </w:p>
    <w:p w:rsidR="00F1596E" w:rsidRDefault="00F1596E" w:rsidP="00F1596E">
      <w:pPr>
        <w:pStyle w:val="MAINHEADINGS"/>
        <w:spacing w:line="480" w:lineRule="auto"/>
        <w:rPr>
          <w:color w:val="000000"/>
        </w:rPr>
      </w:pPr>
      <w:r>
        <w:rPr>
          <w:color w:val="000000"/>
        </w:rPr>
        <w:t>Trigger clock distribution issues</w:t>
      </w:r>
    </w:p>
    <w:p w:rsidR="00F1596E" w:rsidRDefault="00F1596E" w:rsidP="00F1596E">
      <w:pPr>
        <w:pStyle w:val="Subheadings"/>
        <w:spacing w:line="480" w:lineRule="auto"/>
      </w:pPr>
      <w:r>
        <w:t>Trigger synchronization</w:t>
      </w:r>
    </w:p>
    <w:p w:rsidR="006D7427" w:rsidRDefault="006D7427" w:rsidP="006D7427">
      <w:pPr>
        <w:pStyle w:val="MAINBODY"/>
        <w:spacing w:line="480" w:lineRule="auto"/>
      </w:pPr>
      <w:r>
        <w:t>The trigger signal and trigger information (trigger type, trigger timing etc) are serialized from the TS, the serialized trigger is fanned out by the SD and TD and deserialized by the TI.  The latency (between TS and TI) is different for different TI</w:t>
      </w:r>
      <w:r w:rsidR="006D2E00">
        <w:t xml:space="preserve"> board</w:t>
      </w:r>
      <w:r>
        <w:t>s, as the fiber lengths are different and the deserializer has different latency too.  The TI needs be synchronized, so all the TI</w:t>
      </w:r>
      <w:r w:rsidR="006D2E00">
        <w:t xml:space="preserve"> board</w:t>
      </w:r>
      <w:r>
        <w:t xml:space="preserve">s send the trigger at the same time to the front end data acquisition board.  In this way, it can be sure that the data from different electronics </w:t>
      </w:r>
      <w:r w:rsidR="0030545E">
        <w:t>are from the same physics event.</w:t>
      </w:r>
      <w:r w:rsidR="00AF7B58">
        <w:t xml:space="preserve">  The trigger synchronization is the process to make sure that all the TI</w:t>
      </w:r>
      <w:r w:rsidR="006D2E00">
        <w:t xml:space="preserve"> board</w:t>
      </w:r>
      <w:r w:rsidR="00AF7B58">
        <w:t>s send the trigger out to the front end modules at the same time.</w:t>
      </w:r>
    </w:p>
    <w:p w:rsidR="00AF7B58" w:rsidRDefault="00AF7B58" w:rsidP="006D7427">
      <w:pPr>
        <w:pStyle w:val="MAINBODY"/>
        <w:spacing w:line="480" w:lineRule="auto"/>
      </w:pPr>
      <w:r>
        <w:lastRenderedPageBreak/>
        <w:t xml:space="preserve">To synchronize the trigger signals, </w:t>
      </w:r>
      <w:r w:rsidR="008E64C1">
        <w:t>both the fibre latency and the deserialzer latency need be compensated.  Figure 1</w:t>
      </w:r>
      <w:r w:rsidR="006D2E00">
        <w:t>1</w:t>
      </w:r>
      <w:r w:rsidR="008E64C1">
        <w:t xml:space="preserve"> shows the diagram</w:t>
      </w:r>
      <w:r w:rsidR="006D2E00">
        <w:t xml:space="preserve"> of compensated trigger distribution</w:t>
      </w:r>
      <w:r w:rsidR="008E64C1">
        <w:t>.</w:t>
      </w:r>
    </w:p>
    <w:p w:rsidR="00F312D4" w:rsidRDefault="007B0913" w:rsidP="00F312D4">
      <w:pPr>
        <w:pStyle w:val="MAINBODY"/>
        <w:keepNext/>
        <w:spacing w:line="480" w:lineRule="auto"/>
      </w:pPr>
      <w:r>
        <w:rPr>
          <w:noProof/>
          <w:lang w:val="en-US"/>
        </w:rPr>
        <w:drawing>
          <wp:inline distT="0" distB="0" distL="0" distR="0">
            <wp:extent cx="5508293" cy="3162311"/>
            <wp:effectExtent l="19050" t="0" r="0" b="0"/>
            <wp:docPr id="22" name="Picture 21" descr="TrgSy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gSync.tif"/>
                    <pic:cNvPicPr/>
                  </pic:nvPicPr>
                  <pic:blipFill>
                    <a:blip r:embed="rId19" cstate="print"/>
                    <a:srcRect l="3000" t="22667" r="1000" b="5333"/>
                    <a:stretch>
                      <a:fillRect/>
                    </a:stretch>
                  </pic:blipFill>
                  <pic:spPr>
                    <a:xfrm>
                      <a:off x="0" y="0"/>
                      <a:ext cx="5508293" cy="3162311"/>
                    </a:xfrm>
                    <a:prstGeom prst="rect">
                      <a:avLst/>
                    </a:prstGeom>
                  </pic:spPr>
                </pic:pic>
              </a:graphicData>
            </a:graphic>
          </wp:inline>
        </w:drawing>
      </w:r>
    </w:p>
    <w:p w:rsidR="008E64C1" w:rsidRDefault="00F312D4" w:rsidP="00F312D4">
      <w:pPr>
        <w:pStyle w:val="Caption"/>
        <w:jc w:val="both"/>
      </w:pPr>
      <w:bookmarkStart w:id="9" w:name="_Toc298402135"/>
      <w:r>
        <w:t xml:space="preserve">Figure </w:t>
      </w:r>
      <w:fldSimple w:instr=" SEQ Figure \* ARABIC ">
        <w:r w:rsidR="00CD6839">
          <w:rPr>
            <w:noProof/>
          </w:rPr>
          <w:t>11</w:t>
        </w:r>
      </w:fldSimple>
      <w:r>
        <w:t xml:space="preserve"> Trigger synchronization between TIs</w:t>
      </w:r>
      <w:bookmarkEnd w:id="9"/>
    </w:p>
    <w:p w:rsidR="00F312D4" w:rsidRDefault="00F312D4" w:rsidP="00F312D4">
      <w:pPr>
        <w:rPr>
          <w:lang w:val="en-US"/>
        </w:rPr>
      </w:pPr>
    </w:p>
    <w:p w:rsidR="00B278D6" w:rsidRDefault="00F312D4" w:rsidP="00F312D4">
      <w:pPr>
        <w:pStyle w:val="MAINBODY"/>
        <w:spacing w:line="480" w:lineRule="auto"/>
      </w:pPr>
      <w:r>
        <w:t xml:space="preserve">The fixed latency SYNC signal is delayed on the TI to compensate for the fiber propagation delay, that is the TI with longer </w:t>
      </w:r>
      <w:r w:rsidR="00B278D6">
        <w:t xml:space="preserve">fiber will have a shorter delay on the TI.  The SYNC signal is automatically synchronized to the global 250MHz clock.   The synchronized SYNC signals are used to synchronize the triggers as described in the above figure.  </w:t>
      </w:r>
      <w:r w:rsidR="006D2E00">
        <w:t>Each function in the trigger synchronization will be briefly described next.</w:t>
      </w:r>
    </w:p>
    <w:p w:rsidR="00AF7B58" w:rsidRDefault="00AF7B58" w:rsidP="00AF7B58">
      <w:pPr>
        <w:pStyle w:val="Sub-subheadings"/>
        <w:spacing w:line="480" w:lineRule="auto"/>
      </w:pPr>
      <w:r>
        <w:t>Trigger serializer/deserializer</w:t>
      </w:r>
    </w:p>
    <w:p w:rsidR="00AF7B58" w:rsidRDefault="00AF7B58" w:rsidP="00AF7B58">
      <w:pPr>
        <w:pStyle w:val="MAINBODY"/>
        <w:spacing w:line="480" w:lineRule="auto"/>
      </w:pPr>
      <w:r>
        <w:t xml:space="preserve">The trigger signal and trigger information (trigger type, trigger timing etc) are serialized at TS and deserialized at TI using the Xilinx virtex-5 FPGA </w:t>
      </w:r>
      <w:r w:rsidR="006D2E00">
        <w:t>MGT</w:t>
      </w:r>
      <w:r>
        <w:t xml:space="preserve"> modules.  As the TS and TI are using the same base 250MHz clock, th</w:t>
      </w:r>
      <w:r w:rsidR="006D2E00">
        <w:t>e elastic buffers inside the MGT</w:t>
      </w:r>
      <w:r>
        <w:t xml:space="preserve"> are not </w:t>
      </w:r>
      <w:r w:rsidR="006D2E00">
        <w:t>necessary</w:t>
      </w:r>
      <w:r>
        <w:t>, so the serializer/deserializer latency can be</w:t>
      </w:r>
      <w:r w:rsidR="006D2E00">
        <w:t xml:space="preserve"> kept at their minimum.  The MGT</w:t>
      </w:r>
      <w:r>
        <w:t xml:space="preserve"> phase alignment is used to bypass the elastic buffers.</w:t>
      </w:r>
      <w:r w:rsidR="006D2E00">
        <w:t xml:space="preserve">  The MGT delay on the TS is not a problem for trigger synchronization as it is the sole source.</w:t>
      </w:r>
    </w:p>
    <w:p w:rsidR="00B278D6" w:rsidRDefault="00B278D6" w:rsidP="00B278D6">
      <w:pPr>
        <w:pStyle w:val="Sub-subheadings"/>
        <w:spacing w:line="480" w:lineRule="auto"/>
      </w:pPr>
      <w:r>
        <w:t>Fiber latency measurement</w:t>
      </w:r>
    </w:p>
    <w:p w:rsidR="009860C4" w:rsidRDefault="00B278D6" w:rsidP="00B278D6">
      <w:pPr>
        <w:pStyle w:val="MAINBODY"/>
        <w:spacing w:line="480" w:lineRule="auto"/>
      </w:pPr>
      <w:r>
        <w:t xml:space="preserve">There are twelve fibres in each bundle.  Eight fibres (four pairs) are connected to the </w:t>
      </w:r>
      <w:r w:rsidR="00E26493">
        <w:t xml:space="preserve">optical transceivers (Avago HFBR7924), while the other four are not used.  </w:t>
      </w:r>
      <w:r w:rsidR="006D2E00">
        <w:t>Out of the four pairs, o</w:t>
      </w:r>
      <w:r w:rsidR="00E26493">
        <w:t xml:space="preserve">ne pair is used for trigger and status, one pair is used for clock, and one pair is used for SYNC signal.  The </w:t>
      </w:r>
      <w:r w:rsidR="006D2E00">
        <w:t>forth</w:t>
      </w:r>
      <w:r w:rsidR="00E26493">
        <w:t xml:space="preserve"> pair is used to measure the fiber latency.  </w:t>
      </w:r>
      <w:r w:rsidR="006D2E00">
        <w:t>When measuring the latency, t</w:t>
      </w:r>
      <w:r w:rsidR="00E26493">
        <w:t xml:space="preserve">he TI sends a test signal to the TD through one of the pair, the TD </w:t>
      </w:r>
      <w:r w:rsidR="00E26493">
        <w:lastRenderedPageBreak/>
        <w:t xml:space="preserve">receives the test signal, and loop back to the TI through the other fibre of the pair.  The TI measures the delay between the test pulse and the looped back test pulse using the FPGA counter and the carry chain[5,delay measurement].  As the fibre skew is pretty small, this measurement </w:t>
      </w:r>
      <w:r w:rsidR="006D2E00">
        <w:t xml:space="preserve">result </w:t>
      </w:r>
      <w:r w:rsidR="009860C4">
        <w:t xml:space="preserve">can be used as the latency for the fibre that carries the SYNC signals.  </w:t>
      </w:r>
    </w:p>
    <w:p w:rsidR="00B278D6" w:rsidRDefault="00B278D6" w:rsidP="00B278D6">
      <w:pPr>
        <w:pStyle w:val="Sub-subheadings"/>
        <w:spacing w:line="480" w:lineRule="auto"/>
      </w:pPr>
      <w:r>
        <w:t>Sync latency compensation</w:t>
      </w:r>
    </w:p>
    <w:p w:rsidR="00B278D6" w:rsidRDefault="009860C4" w:rsidP="00B278D6">
      <w:pPr>
        <w:pStyle w:val="MAINBODY"/>
        <w:spacing w:line="480" w:lineRule="auto"/>
      </w:pPr>
      <w:r>
        <w:t xml:space="preserve">The test pulse loop back time is twice the fibre latency.  This </w:t>
      </w:r>
      <w:r w:rsidR="006D2E00">
        <w:t xml:space="preserve">measurement result </w:t>
      </w:r>
      <w:r>
        <w:t xml:space="preserve">can be saved in the TI, and used to automatically compensate for the SYNC delay in steps of the </w:t>
      </w:r>
      <w:r w:rsidR="006D2E00">
        <w:t xml:space="preserve">250 MHz </w:t>
      </w:r>
      <w:r>
        <w:t xml:space="preserve">clock period.  Using the Xilinx FPGA </w:t>
      </w:r>
      <w:r w:rsidR="006D2E00">
        <w:t>IODELAY</w:t>
      </w:r>
      <w:r>
        <w:t xml:space="preserve"> feature, the SYNC can be automatically phase aligned to the system clock</w:t>
      </w:r>
      <w:r w:rsidR="00B278D6">
        <w:t>.</w:t>
      </w:r>
    </w:p>
    <w:p w:rsidR="00B278D6" w:rsidRDefault="00B278D6" w:rsidP="00B278D6">
      <w:pPr>
        <w:pStyle w:val="Sub-subheadings"/>
        <w:spacing w:line="480" w:lineRule="auto"/>
      </w:pPr>
      <w:r>
        <w:t>Trigger latency compensation</w:t>
      </w:r>
    </w:p>
    <w:p w:rsidR="00EF7674" w:rsidRDefault="00EF7674" w:rsidP="00B278D6">
      <w:pPr>
        <w:pStyle w:val="MAINBODY"/>
        <w:spacing w:line="480" w:lineRule="auto"/>
      </w:pPr>
      <w:r>
        <w:t xml:space="preserve">If the clock phase is not adjusted, there will be a </w:t>
      </w:r>
      <w:r w:rsidR="006D2E00">
        <w:t xml:space="preserve">maximum of </w:t>
      </w:r>
      <w:r>
        <w:t xml:space="preserve">4ns skew </w:t>
      </w:r>
      <w:r w:rsidR="006D2E00">
        <w:t>among</w:t>
      </w:r>
      <w:r>
        <w:t xml:space="preserve"> the clocks on the TI</w:t>
      </w:r>
      <w:r w:rsidR="006D2E00">
        <w:t xml:space="preserve"> board</w:t>
      </w:r>
      <w:r>
        <w:t xml:space="preserve">s.  This phase can be adjusted </w:t>
      </w:r>
      <w:r w:rsidR="00EA0712">
        <w:t>by SD if th</w:t>
      </w:r>
      <w:r w:rsidR="006D2E00">
        <w:t>e skew</w:t>
      </w:r>
      <w:r w:rsidR="00EA0712">
        <w:t xml:space="preserve"> is critical to the system.  As the trigger and sync are phase aligned with the clock, there will be a maximum of 4ns phase differences </w:t>
      </w:r>
      <w:r w:rsidR="00C92F76">
        <w:t>for the trigger</w:t>
      </w:r>
      <w:r w:rsidR="006D2E00">
        <w:t xml:space="preserve"> </w:t>
      </w:r>
      <w:r w:rsidR="00C92F76">
        <w:t xml:space="preserve">signals among </w:t>
      </w:r>
      <w:r w:rsidR="00EA0712">
        <w:t>TI</w:t>
      </w:r>
      <w:r w:rsidR="00C92F76">
        <w:t xml:space="preserve"> board</w:t>
      </w:r>
      <w:r w:rsidR="00EA0712">
        <w:t>s</w:t>
      </w:r>
      <w:r w:rsidR="00C92F76">
        <w:t xml:space="preserve"> if the clock phase is not adjusted</w:t>
      </w:r>
      <w:r w:rsidR="00EA0712">
        <w:t>.</w:t>
      </w:r>
    </w:p>
    <w:p w:rsidR="00F1596E" w:rsidRDefault="00B259BD" w:rsidP="00F1596E">
      <w:pPr>
        <w:pStyle w:val="Subheadings"/>
        <w:spacing w:line="480" w:lineRule="auto"/>
      </w:pPr>
      <w:r>
        <w:t>Clock distribution performance</w:t>
      </w:r>
    </w:p>
    <w:p w:rsidR="00EA0712" w:rsidRDefault="00B259BD" w:rsidP="00EA0712">
      <w:pPr>
        <w:pStyle w:val="Sub-subheadings"/>
        <w:spacing w:line="480" w:lineRule="auto"/>
      </w:pPr>
      <w:r>
        <w:t>Same clock for the whole system</w:t>
      </w:r>
    </w:p>
    <w:p w:rsidR="00827152" w:rsidRDefault="00EA0712" w:rsidP="00EA0712">
      <w:pPr>
        <w:pStyle w:val="MAINBODY"/>
        <w:spacing w:line="480" w:lineRule="auto"/>
      </w:pPr>
      <w:r>
        <w:t xml:space="preserve">The TS supply the clock source for the whole system.  The slower clocks are derived from the TS fanned out clock.  </w:t>
      </w:r>
      <w:r w:rsidR="00C92F76">
        <w:t>Figure 12</w:t>
      </w:r>
      <w:r w:rsidR="00827152">
        <w:t xml:space="preserve"> shows the clock jitters </w:t>
      </w:r>
      <w:r w:rsidR="00C92F76">
        <w:t>as received by the front end electronics distributed by the SD boards</w:t>
      </w:r>
      <w:r w:rsidR="00827152">
        <w:t xml:space="preserve"> on the front end crate.  This shows that the system has a very high quality clock, that is, the front end electronics receiv</w:t>
      </w:r>
      <w:r w:rsidR="00C92F76">
        <w:t>es a clock of jitter of about 1</w:t>
      </w:r>
      <w:r w:rsidR="008D2256">
        <w:t>p</w:t>
      </w:r>
      <w:r w:rsidR="00827152">
        <w:t>s.</w:t>
      </w:r>
    </w:p>
    <w:p w:rsidR="00C026ED" w:rsidRDefault="00CB1DEF" w:rsidP="00C026ED">
      <w:pPr>
        <w:pStyle w:val="MAINBODY"/>
        <w:keepNext/>
        <w:spacing w:line="480" w:lineRule="auto"/>
      </w:pPr>
      <w:r>
        <w:rPr>
          <w:noProof/>
          <w:lang w:val="en-US"/>
        </w:rPr>
        <w:drawing>
          <wp:inline distT="0" distB="0" distL="0" distR="0">
            <wp:extent cx="5731510" cy="2104390"/>
            <wp:effectExtent l="19050" t="0" r="2540" b="0"/>
            <wp:docPr id="7" name="Picture 6" descr="clk24_767-trg-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k24_767-trg-co.png"/>
                    <pic:cNvPicPr/>
                  </pic:nvPicPr>
                  <pic:blipFill>
                    <a:blip r:embed="rId20" cstate="print"/>
                    <a:stretch>
                      <a:fillRect/>
                    </a:stretch>
                  </pic:blipFill>
                  <pic:spPr>
                    <a:xfrm>
                      <a:off x="0" y="0"/>
                      <a:ext cx="5731510" cy="2104390"/>
                    </a:xfrm>
                    <a:prstGeom prst="rect">
                      <a:avLst/>
                    </a:prstGeom>
                  </pic:spPr>
                </pic:pic>
              </a:graphicData>
            </a:graphic>
          </wp:inline>
        </w:drawing>
      </w:r>
    </w:p>
    <w:p w:rsidR="00CB1DEF" w:rsidRDefault="00C026ED" w:rsidP="00C026ED">
      <w:pPr>
        <w:pStyle w:val="Caption"/>
        <w:jc w:val="both"/>
        <w:rPr>
          <w:noProof/>
        </w:rPr>
      </w:pPr>
      <w:bookmarkStart w:id="10" w:name="_Toc298402136"/>
      <w:r>
        <w:t xml:space="preserve">Figure </w:t>
      </w:r>
      <w:fldSimple w:instr=" SEQ Figure \* ARABIC ">
        <w:r w:rsidR="00CD6839">
          <w:rPr>
            <w:noProof/>
          </w:rPr>
          <w:t>12</w:t>
        </w:r>
      </w:fldSimple>
      <w:r>
        <w:t xml:space="preserve"> Distributed clock jitters</w:t>
      </w:r>
      <w:r w:rsidR="007A5EE3">
        <w:t xml:space="preserve"> as seen on front end crate.  2p</w:t>
      </w:r>
      <w:r>
        <w:t xml:space="preserve">s before </w:t>
      </w:r>
      <w:r w:rsidR="007A5EE3">
        <w:rPr>
          <w:noProof/>
        </w:rPr>
        <w:t>SD clean up, and 1 p</w:t>
      </w:r>
      <w:r>
        <w:rPr>
          <w:noProof/>
        </w:rPr>
        <w:t>s after SD clean up</w:t>
      </w:r>
      <w:bookmarkEnd w:id="10"/>
    </w:p>
    <w:p w:rsidR="00C026ED" w:rsidRPr="00C026ED" w:rsidRDefault="00C026ED" w:rsidP="00C026ED">
      <w:pPr>
        <w:rPr>
          <w:lang w:val="en-US"/>
        </w:rPr>
      </w:pPr>
    </w:p>
    <w:p w:rsidR="00F1596E" w:rsidRDefault="00B259BD" w:rsidP="00F1596E">
      <w:pPr>
        <w:pStyle w:val="Subheadings"/>
        <w:spacing w:line="480" w:lineRule="auto"/>
      </w:pPr>
      <w:r>
        <w:t>DAQ synchronization (trigger throttling)</w:t>
      </w:r>
    </w:p>
    <w:p w:rsidR="00F1596E" w:rsidRDefault="00B259BD" w:rsidP="00F1596E">
      <w:pPr>
        <w:pStyle w:val="Sub-subheadings"/>
        <w:spacing w:line="480" w:lineRule="auto"/>
      </w:pPr>
      <w:r>
        <w:t>Why we need this</w:t>
      </w:r>
    </w:p>
    <w:p w:rsidR="00C86CAB" w:rsidRDefault="009918DD" w:rsidP="00C86CAB">
      <w:pPr>
        <w:pStyle w:val="MAINBODY"/>
        <w:spacing w:line="480" w:lineRule="auto"/>
      </w:pPr>
      <w:r>
        <w:t xml:space="preserve">Because of the finite memory size and the randomness of the trigger, it is possible that </w:t>
      </w:r>
      <w:r w:rsidR="00C92F76">
        <w:t xml:space="preserve">the memory </w:t>
      </w:r>
      <w:r>
        <w:t>get over welcomed</w:t>
      </w:r>
      <w:r w:rsidR="00C92F76">
        <w:t xml:space="preserve"> somewhere in the DAQ system</w:t>
      </w:r>
      <w:r>
        <w:t>, which could cause problems in the system.   The trigger distribution throttling mechanism is used to prevent the possible memory overflows, and to keep the DAQ synchronized.</w:t>
      </w:r>
      <w:r w:rsidR="00C86CAB">
        <w:t xml:space="preserve">  Figure 1</w:t>
      </w:r>
      <w:r w:rsidR="00C92F76">
        <w:t>3</w:t>
      </w:r>
      <w:r w:rsidR="00C86CAB">
        <w:t xml:space="preserve"> shows the DAQ synchronization logic implemented.  Each of the component</w:t>
      </w:r>
      <w:r w:rsidR="0011308C">
        <w:t>s</w:t>
      </w:r>
      <w:r w:rsidR="00C86CAB">
        <w:t xml:space="preserve"> will be described in the following sections in detail.</w:t>
      </w:r>
    </w:p>
    <w:p w:rsidR="005A7931" w:rsidRDefault="008D378F" w:rsidP="005A7931">
      <w:pPr>
        <w:pStyle w:val="MAINBODY"/>
        <w:keepNext/>
        <w:spacing w:line="480" w:lineRule="auto"/>
      </w:pPr>
      <w:r>
        <w:rPr>
          <w:noProof/>
          <w:lang w:val="en-US"/>
        </w:rPr>
        <w:drawing>
          <wp:inline distT="0" distB="0" distL="0" distR="0">
            <wp:extent cx="5037445" cy="2500798"/>
            <wp:effectExtent l="19050" t="0" r="0" b="0"/>
            <wp:docPr id="26" name="Picture 25" descr="DAQSy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Sync.tif"/>
                    <pic:cNvPicPr/>
                  </pic:nvPicPr>
                  <pic:blipFill>
                    <a:blip r:embed="rId21" cstate="print"/>
                    <a:srcRect l="11000" t="13333" r="2000" b="29333"/>
                    <a:stretch>
                      <a:fillRect/>
                    </a:stretch>
                  </pic:blipFill>
                  <pic:spPr>
                    <a:xfrm>
                      <a:off x="0" y="0"/>
                      <a:ext cx="5037445" cy="2500798"/>
                    </a:xfrm>
                    <a:prstGeom prst="rect">
                      <a:avLst/>
                    </a:prstGeom>
                  </pic:spPr>
                </pic:pic>
              </a:graphicData>
            </a:graphic>
          </wp:inline>
        </w:drawing>
      </w:r>
    </w:p>
    <w:p w:rsidR="00C86CAB" w:rsidRDefault="005A7931" w:rsidP="005A7931">
      <w:pPr>
        <w:pStyle w:val="Caption"/>
        <w:jc w:val="both"/>
      </w:pPr>
      <w:bookmarkStart w:id="11" w:name="_Toc298402137"/>
      <w:r>
        <w:t xml:space="preserve">Figure </w:t>
      </w:r>
      <w:fldSimple w:instr=" SEQ Figure \* ARABIC ">
        <w:r w:rsidR="00CD6839">
          <w:rPr>
            <w:noProof/>
          </w:rPr>
          <w:t>13</w:t>
        </w:r>
      </w:fldSimple>
      <w:r>
        <w:t xml:space="preserve"> DAQ synchronization</w:t>
      </w:r>
      <w:bookmarkEnd w:id="11"/>
    </w:p>
    <w:p w:rsidR="005A7931" w:rsidRPr="005A7931" w:rsidRDefault="005A7931" w:rsidP="005A7931">
      <w:pPr>
        <w:rPr>
          <w:lang w:val="en-US"/>
        </w:rPr>
      </w:pPr>
    </w:p>
    <w:p w:rsidR="009918DD" w:rsidRDefault="00B259BD" w:rsidP="009918DD">
      <w:pPr>
        <w:pStyle w:val="Sub-subheadings"/>
        <w:spacing w:line="480" w:lineRule="auto"/>
      </w:pPr>
      <w:r>
        <w:t>Busy signals</w:t>
      </w:r>
      <w:r w:rsidR="009918DD" w:rsidRPr="009918DD">
        <w:t xml:space="preserve"> </w:t>
      </w:r>
    </w:p>
    <w:p w:rsidR="00BD2754" w:rsidRDefault="009918DD" w:rsidP="009918DD">
      <w:pPr>
        <w:pStyle w:val="MAINBODY"/>
        <w:spacing w:line="480" w:lineRule="auto"/>
      </w:pPr>
      <w:r>
        <w:t xml:space="preserve">The BUSY signals are the primary feedback for the DAQ synchronization.  </w:t>
      </w:r>
      <w:r w:rsidR="00682C85">
        <w:t xml:space="preserve">The front end DAQ electronics receives the trigger signal, and find the matching data and store the data in the memory to be readout later.  </w:t>
      </w:r>
      <w:r w:rsidR="00C92F76">
        <w:t>T</w:t>
      </w:r>
      <w:r>
        <w:t>he DAQ is synchronized on the trigger, that is, each</w:t>
      </w:r>
      <w:r w:rsidR="00682C85">
        <w:t xml:space="preserve"> trigger is one physical event</w:t>
      </w:r>
      <w:r w:rsidR="00C92F76">
        <w:t>.  I</w:t>
      </w:r>
      <w:r w:rsidR="00682C85">
        <w:t>f the front end electronics memory is full (or close to full), it will assert the BUSY signal to inform the trigger distribution system that possible DAQ out of sync c</w:t>
      </w:r>
      <w:r w:rsidR="00C92F76">
        <w:t>ould occur if more triggers come</w:t>
      </w:r>
      <w:r w:rsidR="00682C85">
        <w:t>.  This BUSY signal from front end board can be accumulated on the SD, and send back to TI.  The TI sends the BUSY signal back to the TD through fibers.  The TD will accumulate the BUSY from TI</w:t>
      </w:r>
      <w:r w:rsidR="00C92F76">
        <w:t xml:space="preserve"> board</w:t>
      </w:r>
      <w:r w:rsidR="00682C85">
        <w:t xml:space="preserve">s, and send to the SD in </w:t>
      </w:r>
      <w:r w:rsidR="00C92F76">
        <w:t xml:space="preserve">global trigger </w:t>
      </w:r>
      <w:r w:rsidR="00682C85">
        <w:t>distribution crate.  The SD in the distribution crate accumulate</w:t>
      </w:r>
      <w:r w:rsidR="00195393">
        <w:t>s</w:t>
      </w:r>
      <w:r w:rsidR="00682C85">
        <w:t xml:space="preserve"> the BUSY from TD</w:t>
      </w:r>
      <w:r w:rsidR="00975372">
        <w:t xml:space="preserve"> board</w:t>
      </w:r>
      <w:r w:rsidR="00682C85">
        <w:t xml:space="preserve">s, and send to the TS.  When TS receives the BUSY, it will throttle the trigger to prevent the </w:t>
      </w:r>
      <w:r w:rsidR="00BD2754">
        <w:t xml:space="preserve">memory overflow in the front end electronics.  After data </w:t>
      </w:r>
      <w:r w:rsidR="00BD2754">
        <w:lastRenderedPageBreak/>
        <w:t xml:space="preserve">readout in the front end, the BUSY will abate.  After the BUSY disserted on the TS, TS will </w:t>
      </w:r>
      <w:r w:rsidR="00975372">
        <w:t>resume</w:t>
      </w:r>
      <w:r w:rsidR="00BD2754">
        <w:t xml:space="preserve"> trigger again.  The TS will record the BUSY time, as efficiency monitoring.</w:t>
      </w:r>
    </w:p>
    <w:p w:rsidR="00BD2754" w:rsidRDefault="00BD2754" w:rsidP="00BD2754">
      <w:pPr>
        <w:pStyle w:val="Sub-subheadings"/>
        <w:spacing w:line="480" w:lineRule="auto"/>
      </w:pPr>
      <w:r>
        <w:t>Event limit setting</w:t>
      </w:r>
    </w:p>
    <w:p w:rsidR="00E65562" w:rsidRDefault="00BD2754" w:rsidP="00BD2754">
      <w:pPr>
        <w:pStyle w:val="MAINBODY"/>
        <w:spacing w:line="480" w:lineRule="auto"/>
      </w:pPr>
      <w:r>
        <w:t xml:space="preserve">In addition to the BUSY feedback, </w:t>
      </w:r>
      <w:r w:rsidR="00E65562">
        <w:t>the system can set a limit on the trigger buffered at</w:t>
      </w:r>
      <w:r w:rsidR="009B53E5">
        <w:t xml:space="preserve"> the front end.  This </w:t>
      </w:r>
      <w:r w:rsidR="004F5286">
        <w:t>is achieved by the trigger acknowledge and readout acknowledge by the TI boards.</w:t>
      </w:r>
    </w:p>
    <w:p w:rsidR="00AD2E72" w:rsidRDefault="00E65562" w:rsidP="004F5286">
      <w:pPr>
        <w:pStyle w:val="MAINBODY"/>
        <w:spacing w:line="480" w:lineRule="auto"/>
      </w:pPr>
      <w:r>
        <w:t xml:space="preserve">After the trigger (event) is readout, the Read Out Controller (ROC) will set an acknowledge signal to the TI to indicate that one event is read.  The TI sends this acknowledge signal back to the TD through the same fiber for the BUSY, which is encoded and serialized.  The TD keeps track of the number of trigger sent to the TI, and the number of trigger acknowledged by the TI.  If the difference is over a preset limit, this means that there are a certain number of triggeres are buffered on the front end DAQ electronics, the TD will assert the BUSY.  Through the SD, the TS receives the BUSY, and </w:t>
      </w:r>
      <w:r w:rsidR="00AD2E72">
        <w:t>t</w:t>
      </w:r>
      <w:r w:rsidR="004F5286">
        <w:t>he TS will</w:t>
      </w:r>
      <w:r w:rsidR="00AD2E72">
        <w:t xml:space="preserve"> throttle</w:t>
      </w:r>
      <w:r w:rsidR="009B53E5">
        <w:t>s</w:t>
      </w:r>
      <w:r w:rsidR="00AD2E72">
        <w:t xml:space="preserve"> the trigger and disable further trigger fan out.  After front end readout and trigger acknowledge, the difference will re-treat, and the BUSY will abate on the TD.  After TS senses the desertion of BUSY from TD, it will fan out the trigger again.  The TS record the BUSY time the same way as the BUSY asserted by the front end electronics.</w:t>
      </w:r>
      <w:r w:rsidR="004F5286">
        <w:t xml:space="preserve">  </w:t>
      </w:r>
      <w:r w:rsidR="004F5286" w:rsidRPr="004F5286">
        <w:t xml:space="preserve"> </w:t>
      </w:r>
      <w:r w:rsidR="004F5286">
        <w:t>If the preset limit is 1, this is the event locking mode.  That is no second trigger is sent out before the first trigger is readout.  If the preset number is infinite (in practice, a very large number), the DAQ will be working at pipeline mode with trigger throttling by the front end electronics BUSY only.</w:t>
      </w:r>
    </w:p>
    <w:p w:rsidR="00455B37" w:rsidRDefault="00AD2E72" w:rsidP="004F5286">
      <w:pPr>
        <w:pStyle w:val="MAINBODY"/>
        <w:spacing w:line="480" w:lineRule="auto"/>
      </w:pPr>
      <w:r>
        <w:t>If event blocking is used, that is</w:t>
      </w:r>
      <w:r w:rsidR="009B53E5">
        <w:t>,</w:t>
      </w:r>
      <w:r>
        <w:t xml:space="preserve"> a preset number of triggers is treated as a block in the DAQ readout, the ROC will acknowledge on the block based readout, not individual trigger.  In this case, the TD will count the number of blocks sent to the TI, and the number of blocks acknowledged by the TI.  The TD will set the BUSY if the difference is over the preset number.  If the number of the trigger per block is set to 1, </w:t>
      </w:r>
      <w:r w:rsidR="008341D6">
        <w:t>each bl</w:t>
      </w:r>
      <w:r w:rsidR="00E27A6E">
        <w:t>ock is one trigger.  This</w:t>
      </w:r>
      <w:r w:rsidR="008341D6">
        <w:t xml:space="preserve"> special case </w:t>
      </w:r>
      <w:r w:rsidR="00E27A6E">
        <w:t xml:space="preserve">is the same </w:t>
      </w:r>
      <w:r w:rsidR="008341D6">
        <w:t xml:space="preserve">as </w:t>
      </w:r>
      <w:r w:rsidR="00455B37">
        <w:t xml:space="preserve">that </w:t>
      </w:r>
      <w:r w:rsidR="008341D6">
        <w:t>mention</w:t>
      </w:r>
      <w:r w:rsidR="00E27A6E">
        <w:t>ed</w:t>
      </w:r>
      <w:r w:rsidR="008341D6">
        <w:t xml:space="preserve"> in the previous paragraph. </w:t>
      </w:r>
    </w:p>
    <w:p w:rsidR="00455B37" w:rsidRDefault="00455B37" w:rsidP="00455B37">
      <w:pPr>
        <w:pStyle w:val="Sub-subheadings"/>
        <w:spacing w:line="480" w:lineRule="auto"/>
      </w:pPr>
      <w:r>
        <w:t>Sync event (special event)</w:t>
      </w:r>
    </w:p>
    <w:p w:rsidR="009918DD" w:rsidRDefault="00257531" w:rsidP="009918DD">
      <w:pPr>
        <w:pStyle w:val="MAINBODY"/>
        <w:spacing w:line="480" w:lineRule="auto"/>
      </w:pPr>
      <w:r>
        <w:t>The TS can distribute a special trigger, SYNCEVENT.  After fanning out this event, the TS will be in a waiting mode, and inhibits further triggers.  Upon receiving this trigger, the TI will inform the ROC in the crate of the special event, and set the BUSY status.  The BUSY will propagate back to the TS</w:t>
      </w:r>
      <w:r w:rsidR="00051B89">
        <w:t xml:space="preserve"> to reset the TS inhibit.  As the BUSY is set, there is still no further trigger</w:t>
      </w:r>
      <w:r>
        <w:t xml:space="preserve">.  After the normal front end crate readout, the ROC will dump all the front end modules memory buffers, and make sure that </w:t>
      </w:r>
      <w:r w:rsidR="00051B89">
        <w:t xml:space="preserve">all the data buffers are empty, and ready for further triggers.  Then the ROC will set an acknowledge signal to the TI to indicate that the front end crate is </w:t>
      </w:r>
      <w:r w:rsidR="00051B89">
        <w:lastRenderedPageBreak/>
        <w:t>rea</w:t>
      </w:r>
      <w:r w:rsidR="00A431AC">
        <w:t xml:space="preserve">dy for triggers.  The TI will </w:t>
      </w:r>
      <w:r w:rsidR="00E95A35">
        <w:t>negate</w:t>
      </w:r>
      <w:r w:rsidR="00051B89">
        <w:t xml:space="preserve"> the BUSY.  After all the BUSY are abated from TIs, the TS will fan out triggers again.  The SYNC event is a pre-emptive action for DAQ synchronization</w:t>
      </w:r>
      <w:r w:rsidR="009918DD">
        <w:t>.</w:t>
      </w:r>
    </w:p>
    <w:p w:rsidR="001E5196" w:rsidRDefault="001E5196" w:rsidP="001E5196">
      <w:pPr>
        <w:pStyle w:val="Subheadings"/>
        <w:spacing w:line="480" w:lineRule="auto"/>
      </w:pPr>
      <w:r>
        <w:t>Subdetector partitioning</w:t>
      </w:r>
    </w:p>
    <w:p w:rsidR="001E5196" w:rsidRDefault="001E5196" w:rsidP="001E5196">
      <w:pPr>
        <w:pStyle w:val="Sub-subheadings"/>
        <w:spacing w:line="480" w:lineRule="auto"/>
      </w:pPr>
      <w:r>
        <w:t>Partitioning using the TS trigger type</w:t>
      </w:r>
    </w:p>
    <w:p w:rsidR="006110D4" w:rsidRDefault="0023208B" w:rsidP="001E5196">
      <w:pPr>
        <w:pStyle w:val="MAINBODY"/>
        <w:spacing w:line="480" w:lineRule="auto"/>
      </w:pPr>
      <w:r>
        <w:t>(</w:t>
      </w:r>
      <w:r w:rsidR="001E5196">
        <w:t>leave to Ed.</w:t>
      </w:r>
      <w:r>
        <w:t>)</w:t>
      </w:r>
      <w:r w:rsidR="001E5196">
        <w:t xml:space="preserve">  By encoding a special code on the TS, the TI will selectively decode the triggers. Differen</w:t>
      </w:r>
      <w:r>
        <w:t>t</w:t>
      </w:r>
      <w:r w:rsidR="001E5196">
        <w:t xml:space="preserve"> TI</w:t>
      </w:r>
      <w:r>
        <w:t xml:space="preserve"> board</w:t>
      </w:r>
      <w:r w:rsidR="001E5196">
        <w:t xml:space="preserve">s can </w:t>
      </w:r>
      <w:r w:rsidR="006110D4">
        <w:t xml:space="preserve">decode and </w:t>
      </w:r>
      <w:r w:rsidR="001E5196">
        <w:t>fan out triggers</w:t>
      </w:r>
      <w:r w:rsidR="006110D4">
        <w:t xml:space="preserve"> differently</w:t>
      </w:r>
      <w:r w:rsidR="001E5196">
        <w:t xml:space="preserve">.  This </w:t>
      </w:r>
      <w:r w:rsidR="006110D4">
        <w:t xml:space="preserve">requires different firmware or firmware setting on each TI, but should not be hard to implement provided that the TS (and the software) is capable to deal </w:t>
      </w:r>
      <w:r>
        <w:t xml:space="preserve">with </w:t>
      </w:r>
      <w:r w:rsidR="006110D4">
        <w:t>multiple request</w:t>
      </w:r>
      <w:r>
        <w:t>s</w:t>
      </w:r>
      <w:r w:rsidR="006110D4">
        <w:t>, especially during system commissioning.</w:t>
      </w:r>
    </w:p>
    <w:p w:rsidR="001E5196" w:rsidRDefault="001E5196" w:rsidP="001E5196">
      <w:pPr>
        <w:pStyle w:val="Sub-subheadings"/>
        <w:spacing w:line="480" w:lineRule="auto"/>
      </w:pPr>
      <w:r>
        <w:t>Partitioning using the Subsystem trigger supervisor</w:t>
      </w:r>
    </w:p>
    <w:p w:rsidR="001E5196" w:rsidRDefault="0023208B" w:rsidP="001E5196">
      <w:pPr>
        <w:pStyle w:val="MAINBODY"/>
        <w:spacing w:line="480" w:lineRule="auto"/>
      </w:pPr>
      <w:r>
        <w:t xml:space="preserve">The shared TI and TD PCB board can be </w:t>
      </w:r>
      <w:r w:rsidR="001E5196">
        <w:t>configure</w:t>
      </w:r>
      <w:r>
        <w:t xml:space="preserve">d and firmware programmed </w:t>
      </w:r>
      <w:r w:rsidR="001E5196">
        <w:t xml:space="preserve"> </w:t>
      </w:r>
      <w:r>
        <w:t>as a subsystem supervisor board.  It behaves like a trigger supervisor with optical fiber fanout like a TD.  Each subsystem trigger supervisor board can drive up to eight TI boards</w:t>
      </w:r>
      <w:r w:rsidR="001E5196">
        <w:t>.  These eight TI</w:t>
      </w:r>
      <w:r>
        <w:t xml:space="preserve"> board</w:t>
      </w:r>
      <w:r w:rsidR="001E5196">
        <w:t xml:space="preserve">s </w:t>
      </w:r>
      <w:r>
        <w:t>are</w:t>
      </w:r>
      <w:r w:rsidR="001E5196">
        <w:t xml:space="preserve"> grouped as a sub-system.  The TI uses the HFBR#5 as </w:t>
      </w:r>
      <w:r>
        <w:t xml:space="preserve">subsystem </w:t>
      </w:r>
      <w:r w:rsidR="001E5196">
        <w:t>trigger input and SYNC input.  As the whole system is working on the same clock, there is no need to use a sub-system clock.  The sub-system partition can co-exist with the global system.</w:t>
      </w:r>
    </w:p>
    <w:p w:rsidR="00F07EF3" w:rsidRDefault="00F07EF3" w:rsidP="00F07EF3">
      <w:pPr>
        <w:pStyle w:val="Subheadings"/>
        <w:spacing w:line="480" w:lineRule="auto"/>
      </w:pPr>
      <w:r>
        <w:t>Subsystem commissioning</w:t>
      </w:r>
    </w:p>
    <w:p w:rsidR="00F07EF3" w:rsidRDefault="00857F8A" w:rsidP="00F07EF3">
      <w:pPr>
        <w:pStyle w:val="MAINBODY"/>
        <w:spacing w:line="480" w:lineRule="auto"/>
      </w:pPr>
      <w:r>
        <w:t xml:space="preserve">Because of the flexibility of the TI/TD PCB design, the PCB can be configured as any combination of the TI, TD and TS functionalities.  </w:t>
      </w:r>
      <w:r w:rsidR="00980E67">
        <w:t>This is very useful in subdetector testing and commissioning</w:t>
      </w:r>
      <w:r w:rsidR="00F07EF3">
        <w:t>.</w:t>
      </w:r>
      <w:r w:rsidR="00980E67">
        <w:t xml:space="preserve">  Figure 1</w:t>
      </w:r>
      <w:r w:rsidR="0023208B">
        <w:t>4</w:t>
      </w:r>
      <w:r w:rsidR="00980E67">
        <w:t xml:space="preserve"> is a sample configure diagram for nine crate testing/commissioning.</w:t>
      </w:r>
    </w:p>
    <w:p w:rsidR="00980E67" w:rsidRDefault="00E96FB0" w:rsidP="00980E67">
      <w:pPr>
        <w:pStyle w:val="MAINBODY"/>
        <w:keepNext/>
        <w:spacing w:line="480" w:lineRule="auto"/>
      </w:pPr>
      <w:r>
        <w:rPr>
          <w:noProof/>
          <w:lang w:val="en-US"/>
        </w:rPr>
        <w:drawing>
          <wp:inline distT="0" distB="0" distL="0" distR="0">
            <wp:extent cx="3679493" cy="2307156"/>
            <wp:effectExtent l="19050" t="0" r="0" b="0"/>
            <wp:docPr id="24" name="Picture 23" descr="CommissionCr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Crate.tif"/>
                    <pic:cNvPicPr/>
                  </pic:nvPicPr>
                  <pic:blipFill>
                    <a:blip r:embed="rId22" cstate="print"/>
                    <a:srcRect l="17000" t="22667" r="19000" b="26667"/>
                    <a:stretch>
                      <a:fillRect/>
                    </a:stretch>
                  </pic:blipFill>
                  <pic:spPr>
                    <a:xfrm>
                      <a:off x="0" y="0"/>
                      <a:ext cx="3679493" cy="2307156"/>
                    </a:xfrm>
                    <a:prstGeom prst="rect">
                      <a:avLst/>
                    </a:prstGeom>
                  </pic:spPr>
                </pic:pic>
              </a:graphicData>
            </a:graphic>
          </wp:inline>
        </w:drawing>
      </w:r>
    </w:p>
    <w:p w:rsidR="00980E67" w:rsidRDefault="00980E67" w:rsidP="00980E67">
      <w:pPr>
        <w:pStyle w:val="Caption"/>
        <w:jc w:val="both"/>
      </w:pPr>
      <w:bookmarkStart w:id="12" w:name="_Toc298402138"/>
      <w:r>
        <w:t xml:space="preserve">Figure </w:t>
      </w:r>
      <w:fldSimple w:instr=" SEQ Figure \* ARABIC ">
        <w:r w:rsidR="00CD6839">
          <w:rPr>
            <w:noProof/>
          </w:rPr>
          <w:t>14</w:t>
        </w:r>
      </w:fldSimple>
      <w:r>
        <w:t xml:space="preserve"> Subsystem testing/commissioning for up to nine Front End Crates</w:t>
      </w:r>
      <w:bookmarkEnd w:id="12"/>
    </w:p>
    <w:p w:rsidR="00980E67" w:rsidRPr="00980E67" w:rsidRDefault="00980E67" w:rsidP="00980E67">
      <w:pPr>
        <w:rPr>
          <w:lang w:val="en-US"/>
        </w:rPr>
      </w:pPr>
    </w:p>
    <w:p w:rsidR="00F07EF3" w:rsidRDefault="00980E67" w:rsidP="001E5196">
      <w:pPr>
        <w:pStyle w:val="MAINBODY"/>
        <w:spacing w:line="480" w:lineRule="auto"/>
      </w:pPr>
      <w:r>
        <w:lastRenderedPageBreak/>
        <w:t>The First crates has the PCB configured as a multi-purpose boards</w:t>
      </w:r>
      <w:r w:rsidR="00E34BC4">
        <w:t xml:space="preserve">, which we call it </w:t>
      </w:r>
      <w:r w:rsidR="0023208B">
        <w:t>TI</w:t>
      </w:r>
      <w:r w:rsidR="00E34BC4">
        <w:t>Master</w:t>
      </w:r>
      <w:r>
        <w:t xml:space="preserve">.  </w:t>
      </w:r>
      <w:r w:rsidR="00E34BC4">
        <w:t xml:space="preserve">The </w:t>
      </w:r>
      <w:r w:rsidR="0023208B">
        <w:t>TI</w:t>
      </w:r>
      <w:r w:rsidR="00E34BC4">
        <w:t>Master</w:t>
      </w:r>
      <w:r>
        <w:t xml:space="preserve"> receive</w:t>
      </w:r>
      <w:r w:rsidR="00E34BC4">
        <w:t>s</w:t>
      </w:r>
      <w:r>
        <w:t xml:space="preserve"> external triggers (either front panel inputs, or VME generated triggers) and generate triggers for the set up.  </w:t>
      </w:r>
      <w:r w:rsidR="00E34BC4">
        <w:t xml:space="preserve">It generates the system clock (250MHz) by either the on-board oscillator or an external clock inputs.  It generates the SYNC commands from the VME controls.  </w:t>
      </w:r>
      <w:r>
        <w:t>It sends out the trigger</w:t>
      </w:r>
      <w:r w:rsidR="00E34BC4">
        <w:t>/clock/SYNC</w:t>
      </w:r>
      <w:r>
        <w:t xml:space="preserve"> signals like a TI through the P0 backplane to the crate, and it sends out trigger</w:t>
      </w:r>
      <w:r w:rsidR="00E34BC4">
        <w:t>/clock/SYNC signal</w:t>
      </w:r>
      <w:r>
        <w:t>s to another eight TIs like a TD</w:t>
      </w:r>
      <w:r w:rsidR="00E34BC4">
        <w:t xml:space="preserve">.  The BUSY signals are merged by the </w:t>
      </w:r>
      <w:r w:rsidR="0023208B">
        <w:t>TI</w:t>
      </w:r>
      <w:r w:rsidR="00E34BC4">
        <w:t xml:space="preserve">Master, and used to inhibit the triggers to control the DAQ flow.  The ROC readout acknowledges are also collected by the </w:t>
      </w:r>
      <w:r w:rsidR="0023208B">
        <w:t>TI</w:t>
      </w:r>
      <w:r w:rsidR="00E34BC4">
        <w:t>Master to control the DAQ process.  The other eight crates are standar</w:t>
      </w:r>
      <w:r w:rsidR="00901532">
        <w:t>d front end crates with</w:t>
      </w:r>
      <w:r w:rsidR="00E34BC4">
        <w:t xml:space="preserve"> TI </w:t>
      </w:r>
      <w:r w:rsidR="00901532">
        <w:t>board in standard configurations.</w:t>
      </w:r>
    </w:p>
    <w:p w:rsidR="00901532" w:rsidRDefault="00901532" w:rsidP="001E5196">
      <w:pPr>
        <w:pStyle w:val="MAINBODY"/>
        <w:spacing w:line="480" w:lineRule="auto"/>
      </w:pPr>
      <w:r>
        <w:t xml:space="preserve">A system with one </w:t>
      </w:r>
      <w:r w:rsidR="0023208B">
        <w:t>TI</w:t>
      </w:r>
      <w:r>
        <w:t>Master front end crate and one standard TI front end crates are tested in the lab, and running for more than six months.</w:t>
      </w:r>
    </w:p>
    <w:p w:rsidR="00602002" w:rsidRDefault="00B259BD" w:rsidP="00B52015">
      <w:pPr>
        <w:pStyle w:val="MAINHEADINGS"/>
        <w:spacing w:line="480" w:lineRule="auto"/>
        <w:rPr>
          <w:color w:val="000000"/>
        </w:rPr>
      </w:pPr>
      <w:r>
        <w:rPr>
          <w:color w:val="000000"/>
        </w:rPr>
        <w:t>Status</w:t>
      </w:r>
    </w:p>
    <w:p w:rsidR="00B259BD" w:rsidRDefault="00B259BD" w:rsidP="00B259BD">
      <w:pPr>
        <w:pStyle w:val="Subheadings"/>
        <w:spacing w:line="480" w:lineRule="auto"/>
      </w:pPr>
      <w:r>
        <w:t xml:space="preserve">Prototype </w:t>
      </w:r>
      <w:r w:rsidR="00DD18F5">
        <w:t>System Inte</w:t>
      </w:r>
      <w:r>
        <w:t>gration</w:t>
      </w:r>
    </w:p>
    <w:p w:rsidR="00BD498D" w:rsidRDefault="0023208B" w:rsidP="00763A6C">
      <w:pPr>
        <w:pStyle w:val="MAINBODY"/>
        <w:spacing w:line="480" w:lineRule="auto"/>
      </w:pPr>
      <w:r>
        <w:t xml:space="preserve">A prototype of the trigger and clock distribution system was setup and tested.  The distribution system works.  </w:t>
      </w:r>
      <w:r w:rsidR="00672D6F">
        <w:t>Figure 15</w:t>
      </w:r>
      <w:r w:rsidR="00BD498D">
        <w:t xml:space="preserve"> is a picture of the </w:t>
      </w:r>
      <w:r w:rsidR="00672D6F">
        <w:t>test</w:t>
      </w:r>
      <w:r w:rsidR="00BD498D">
        <w:t xml:space="preserve"> setup.  </w:t>
      </w:r>
    </w:p>
    <w:p w:rsidR="00BD498D" w:rsidRDefault="00E96FB0" w:rsidP="00BD498D">
      <w:pPr>
        <w:pStyle w:val="MAINBODY"/>
        <w:keepNext/>
        <w:spacing w:line="480" w:lineRule="auto"/>
      </w:pPr>
      <w:r>
        <w:rPr>
          <w:noProof/>
          <w:lang w:val="en-US"/>
        </w:rPr>
        <w:drawing>
          <wp:inline distT="0" distB="0" distL="0" distR="0">
            <wp:extent cx="5160541" cy="3193576"/>
            <wp:effectExtent l="19050" t="0" r="2009" b="0"/>
            <wp:docPr id="23" name="Picture 22" descr="GlobalTriggerDistrib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TriggerDistribution.tif"/>
                    <pic:cNvPicPr/>
                  </pic:nvPicPr>
                  <pic:blipFill>
                    <a:blip r:embed="rId23" cstate="print"/>
                    <a:srcRect l="5000" t="21333" r="5000" b="5333"/>
                    <a:stretch>
                      <a:fillRect/>
                    </a:stretch>
                  </pic:blipFill>
                  <pic:spPr>
                    <a:xfrm>
                      <a:off x="0" y="0"/>
                      <a:ext cx="5160541" cy="3193576"/>
                    </a:xfrm>
                    <a:prstGeom prst="rect">
                      <a:avLst/>
                    </a:prstGeom>
                  </pic:spPr>
                </pic:pic>
              </a:graphicData>
            </a:graphic>
          </wp:inline>
        </w:drawing>
      </w:r>
    </w:p>
    <w:p w:rsidR="00BD498D" w:rsidRDefault="00BD498D" w:rsidP="00BD498D">
      <w:pPr>
        <w:pStyle w:val="Caption"/>
        <w:jc w:val="both"/>
      </w:pPr>
      <w:bookmarkStart w:id="13" w:name="_Toc298402139"/>
      <w:r>
        <w:t xml:space="preserve">Figure </w:t>
      </w:r>
      <w:fldSimple w:instr=" SEQ Figure \* ARABIC ">
        <w:r w:rsidR="00CD6839">
          <w:rPr>
            <w:noProof/>
          </w:rPr>
          <w:t>15</w:t>
        </w:r>
      </w:fldSimple>
      <w:r w:rsidR="00D824AA">
        <w:t xml:space="preserve"> </w:t>
      </w:r>
      <w:r>
        <w:t xml:space="preserve"> </w:t>
      </w:r>
      <w:r w:rsidR="00D824AA">
        <w:t>S</w:t>
      </w:r>
      <w:r>
        <w:t>etup for the trigger and clock distribution</w:t>
      </w:r>
      <w:bookmarkEnd w:id="13"/>
    </w:p>
    <w:p w:rsidR="00BD498D" w:rsidRPr="00BD498D" w:rsidRDefault="00BD498D" w:rsidP="00BD498D">
      <w:pPr>
        <w:rPr>
          <w:lang w:val="en-US"/>
        </w:rPr>
      </w:pPr>
    </w:p>
    <w:p w:rsidR="00A67330" w:rsidRDefault="00BD498D" w:rsidP="00763A6C">
      <w:pPr>
        <w:pStyle w:val="MAINBODY"/>
        <w:spacing w:line="480" w:lineRule="auto"/>
      </w:pPr>
      <w:r>
        <w:t xml:space="preserve">In this setup, </w:t>
      </w:r>
      <w:r w:rsidR="00672D6F">
        <w:t xml:space="preserve">one </w:t>
      </w:r>
      <w:r>
        <w:t xml:space="preserve">prototype TS </w:t>
      </w:r>
      <w:r w:rsidR="00672D6F">
        <w:t>(the TID programmed as a TS) board, three p</w:t>
      </w:r>
      <w:r>
        <w:t>reproduction TI</w:t>
      </w:r>
      <w:r w:rsidR="00672D6F">
        <w:t xml:space="preserve"> boards</w:t>
      </w:r>
      <w:r>
        <w:t xml:space="preserve">, </w:t>
      </w:r>
      <w:r w:rsidR="00672D6F">
        <w:t xml:space="preserve">two </w:t>
      </w:r>
      <w:r>
        <w:t>preproduction TD</w:t>
      </w:r>
      <w:r w:rsidR="00672D6F">
        <w:t xml:space="preserve">, one </w:t>
      </w:r>
      <w:r>
        <w:t xml:space="preserve">preproduction SD </w:t>
      </w:r>
      <w:r w:rsidR="00672D6F">
        <w:t xml:space="preserve">and one production VXS crate </w:t>
      </w:r>
      <w:r>
        <w:t xml:space="preserve">are used.  The TS sends trigger and </w:t>
      </w:r>
      <w:r>
        <w:lastRenderedPageBreak/>
        <w:t>clock to the SD, and the SD fanout them to the TDs in the distribution crate</w:t>
      </w:r>
      <w:r w:rsidR="00672D6F">
        <w:t>.</w:t>
      </w:r>
      <w:r>
        <w:t xml:space="preserve">  </w:t>
      </w:r>
      <w:r w:rsidR="00A67330">
        <w:t>T</w:t>
      </w:r>
      <w:r w:rsidR="00672D6F">
        <w:t>hree</w:t>
      </w:r>
      <w:r w:rsidR="00A67330">
        <w:t xml:space="preserve"> fibers connect two TDs to </w:t>
      </w:r>
      <w:r w:rsidR="00672D6F">
        <w:t>the three</w:t>
      </w:r>
      <w:r w:rsidR="00A67330">
        <w:t xml:space="preserve"> TI</w:t>
      </w:r>
      <w:r w:rsidR="00672D6F">
        <w:t xml:space="preserve"> boards</w:t>
      </w:r>
      <w:r w:rsidR="00A67330">
        <w:t xml:space="preserve"> in the </w:t>
      </w:r>
      <w:r w:rsidR="00672D6F">
        <w:t>same</w:t>
      </w:r>
      <w:r w:rsidR="00A67330">
        <w:t xml:space="preserve"> crate.  </w:t>
      </w:r>
      <w:r w:rsidR="00672D6F">
        <w:t xml:space="preserve">The drivers for TI board P0 connector are disabled, so the TI can be plugged in the same crate without signal conflict.  </w:t>
      </w:r>
      <w:r w:rsidR="00A67330">
        <w:t>This setup can represent the full trigger/clock distribution system.  There should not be any problem to use 16 TDs if two TDs are fine, and there should be new problems for t</w:t>
      </w:r>
      <w:r w:rsidR="00AE7D9A">
        <w:t>he TD to fan out to eight TIs.</w:t>
      </w:r>
    </w:p>
    <w:p w:rsidR="00AE7D9A" w:rsidRDefault="00AE7D9A" w:rsidP="00763A6C">
      <w:pPr>
        <w:pStyle w:val="MAINBODY"/>
        <w:spacing w:line="480" w:lineRule="auto"/>
      </w:pPr>
      <w:r>
        <w:t>The TI boards are synchronized.  The trigger and clock distribution are synchronized.  The trigger throttling is working.  The prototype setup is stable.  We do not expect any problem for the full trigger/clock distribution system.</w:t>
      </w:r>
    </w:p>
    <w:p w:rsidR="00B259BD" w:rsidRDefault="00DD18F5" w:rsidP="00763A6C">
      <w:pPr>
        <w:pStyle w:val="Subheadings"/>
      </w:pPr>
      <w:r>
        <w:t>Hardware status</w:t>
      </w:r>
    </w:p>
    <w:p w:rsidR="00C101DC" w:rsidRDefault="00C101DC" w:rsidP="00763A6C">
      <w:pPr>
        <w:pStyle w:val="MAINBODY"/>
        <w:spacing w:line="480" w:lineRule="auto"/>
      </w:pPr>
    </w:p>
    <w:p w:rsidR="00AE7D9A" w:rsidRDefault="00B72756" w:rsidP="00763A6C">
      <w:pPr>
        <w:pStyle w:val="MAINBODY"/>
        <w:spacing w:line="480" w:lineRule="auto"/>
      </w:pPr>
      <w:r>
        <w:t>The TI, TD, and SD preproduction boards are fully tested, and the production will be finished by early 2012.  The TS prototype is fully tested, and satisfies the design requirement.  The productio</w:t>
      </w:r>
      <w:r w:rsidR="00AE7D9A">
        <w:t>n will be finished by early 2013</w:t>
      </w:r>
      <w:r>
        <w:t>.  There will be no preproduction stage for the TS as the small quantity required in the system.  The full system will be installed in 2013 in the experimental halls, and will be ready for 12 GeV upgrade experiments by 2015</w:t>
      </w:r>
      <w:r w:rsidR="00AE7D9A">
        <w:t>.</w:t>
      </w:r>
    </w:p>
    <w:p w:rsidR="00BB22A2" w:rsidRDefault="00BB22A2" w:rsidP="00763A6C">
      <w:pPr>
        <w:pStyle w:val="MAINBODY"/>
        <w:spacing w:line="480" w:lineRule="auto"/>
      </w:pPr>
      <w:r>
        <w:t>The trigger and clock distribution scheme is initiated by the HallD experiment, but the use of the distribution scheme is not limited to that Hall.  The scheme can be used in other three CEBAF experiments, and even beyond CFBAF experiments.</w:t>
      </w:r>
    </w:p>
    <w:p w:rsidR="00602002" w:rsidRDefault="00602002" w:rsidP="00B52015">
      <w:pPr>
        <w:pStyle w:val="MAINHEADINGS"/>
        <w:spacing w:line="480" w:lineRule="auto"/>
        <w:rPr>
          <w:color w:val="000000"/>
        </w:rPr>
      </w:pPr>
      <w:r>
        <w:rPr>
          <w:color w:val="000000"/>
        </w:rPr>
        <w:t>References</w:t>
      </w:r>
    </w:p>
    <w:p w:rsidR="00602002" w:rsidRDefault="00672FC5" w:rsidP="00B52015">
      <w:pPr>
        <w:pStyle w:val="MAINBODY"/>
        <w:spacing w:line="480" w:lineRule="auto"/>
        <w:ind w:firstLine="0"/>
      </w:pPr>
      <w:r>
        <w:t>[1</w:t>
      </w:r>
      <w:r w:rsidR="00725A40">
        <w:t xml:space="preserve">] </w:t>
      </w:r>
      <w:r w:rsidR="003A01B7">
        <w:t>GLUEX col</w:t>
      </w:r>
      <w:r w:rsidR="00725A40">
        <w:t xml:space="preserve">laboration, </w:t>
      </w:r>
      <w:r w:rsidR="003A01B7">
        <w:t>the gluex experiment</w:t>
      </w:r>
    </w:p>
    <w:p w:rsidR="003A01B7" w:rsidRDefault="003A01B7" w:rsidP="00B52015">
      <w:pPr>
        <w:pStyle w:val="MAINBODY"/>
        <w:spacing w:line="480" w:lineRule="auto"/>
        <w:ind w:firstLine="0"/>
      </w:pPr>
      <w:r>
        <w:t>[2] CEBAF references</w:t>
      </w:r>
    </w:p>
    <w:p w:rsidR="003A01B7" w:rsidRDefault="003A01B7" w:rsidP="00B52015">
      <w:pPr>
        <w:pStyle w:val="MAINBODY"/>
        <w:spacing w:line="480" w:lineRule="auto"/>
        <w:ind w:firstLine="0"/>
      </w:pPr>
      <w:r>
        <w:t>[3] Trigger Supervisor, technical note</w:t>
      </w:r>
    </w:p>
    <w:p w:rsidR="003A01B7" w:rsidRDefault="003A01B7" w:rsidP="00B52015">
      <w:pPr>
        <w:pStyle w:val="MAINBODY"/>
        <w:spacing w:line="480" w:lineRule="auto"/>
        <w:ind w:firstLine="0"/>
      </w:pPr>
      <w:r>
        <w:t>[4] Trigger Distribution board, technical note</w:t>
      </w:r>
    </w:p>
    <w:p w:rsidR="003A01B7" w:rsidRDefault="003A01B7" w:rsidP="00B52015">
      <w:pPr>
        <w:pStyle w:val="MAINBODY"/>
        <w:spacing w:line="480" w:lineRule="auto"/>
        <w:ind w:firstLine="0"/>
      </w:pPr>
      <w:r>
        <w:t>[5] Trigger Interface board, technical note</w:t>
      </w:r>
    </w:p>
    <w:p w:rsidR="00672FC5" w:rsidRDefault="003A01B7" w:rsidP="00672FC5">
      <w:pPr>
        <w:pStyle w:val="EndnoteText"/>
        <w:spacing w:line="480" w:lineRule="auto"/>
        <w:jc w:val="both"/>
      </w:pPr>
      <w:r>
        <w:t>[6] Signal Distribution board, technical note</w:t>
      </w:r>
    </w:p>
    <w:p w:rsidR="003A01B7" w:rsidRDefault="003A01B7" w:rsidP="00672FC5">
      <w:pPr>
        <w:pStyle w:val="EndnoteText"/>
        <w:spacing w:line="480" w:lineRule="auto"/>
        <w:jc w:val="both"/>
      </w:pPr>
      <w:r>
        <w:t>[7] VXS crate, and VXS specification</w:t>
      </w:r>
    </w:p>
    <w:p w:rsidR="003A01B7" w:rsidRDefault="003A01B7" w:rsidP="00672FC5">
      <w:pPr>
        <w:pStyle w:val="EndnoteText"/>
        <w:spacing w:line="480" w:lineRule="auto"/>
        <w:jc w:val="both"/>
      </w:pPr>
      <w:r>
        <w:t>[8] Cuvas etal, trigger system description</w:t>
      </w:r>
    </w:p>
    <w:p w:rsidR="003A01B7" w:rsidRDefault="003A01B7" w:rsidP="00672FC5">
      <w:pPr>
        <w:pStyle w:val="EndnoteText"/>
        <w:spacing w:line="480" w:lineRule="auto"/>
        <w:jc w:val="both"/>
      </w:pPr>
      <w:r>
        <w:t>[9] Heyes etal, DAQ system description</w:t>
      </w:r>
    </w:p>
    <w:p w:rsidR="00C55663" w:rsidRDefault="00C55663" w:rsidP="00C55663">
      <w:pPr>
        <w:pStyle w:val="MAINHEADINGS"/>
        <w:spacing w:line="480" w:lineRule="auto"/>
        <w:rPr>
          <w:color w:val="000000"/>
        </w:rPr>
      </w:pPr>
      <w:r>
        <w:rPr>
          <w:color w:val="000000"/>
        </w:rPr>
        <w:lastRenderedPageBreak/>
        <w:t>Glossary</w:t>
      </w:r>
    </w:p>
    <w:p w:rsidR="00B2015E" w:rsidRDefault="00B2015E" w:rsidP="00C55663">
      <w:pPr>
        <w:pStyle w:val="MAINBODY"/>
        <w:spacing w:line="480" w:lineRule="auto"/>
        <w:ind w:firstLine="0"/>
      </w:pPr>
      <w:r>
        <w:t>ADC: Analogous to Digital Converter.</w:t>
      </w:r>
    </w:p>
    <w:p w:rsidR="00737C5A" w:rsidRDefault="000F1D5D" w:rsidP="00C55663">
      <w:pPr>
        <w:pStyle w:val="MAINBODY"/>
        <w:spacing w:line="480" w:lineRule="auto"/>
        <w:ind w:firstLine="0"/>
      </w:pPr>
      <w:r>
        <w:t>TDC</w:t>
      </w:r>
      <w:r w:rsidR="00737C5A">
        <w:t xml:space="preserve">: </w:t>
      </w:r>
      <w:r>
        <w:t>Time to Digital Converter</w:t>
      </w:r>
      <w:r w:rsidR="00737C5A">
        <w:t>.</w:t>
      </w:r>
    </w:p>
    <w:p w:rsidR="00B2015E" w:rsidRDefault="00B2015E" w:rsidP="00C55663">
      <w:pPr>
        <w:pStyle w:val="MAINBODY"/>
        <w:spacing w:line="480" w:lineRule="auto"/>
        <w:ind w:firstLine="0"/>
      </w:pPr>
      <w:r>
        <w:t>VME: Versa Module European.  ANSI/IEEE 1014-1987</w:t>
      </w:r>
    </w:p>
    <w:p w:rsidR="000F1D5D" w:rsidRDefault="000F1D5D" w:rsidP="00C55663">
      <w:pPr>
        <w:pStyle w:val="MAINBODY"/>
        <w:spacing w:line="480" w:lineRule="auto"/>
        <w:ind w:firstLine="0"/>
      </w:pPr>
      <w:r>
        <w:t xml:space="preserve">VXS: VME </w:t>
      </w:r>
      <w:r w:rsidR="007E1763">
        <w:t xml:space="preserve">switched </w:t>
      </w:r>
      <w:r>
        <w:t xml:space="preserve">Serial.  </w:t>
      </w:r>
      <w:r w:rsidR="007E1763">
        <w:t>VITA41.0</w:t>
      </w:r>
    </w:p>
    <w:p w:rsidR="000F1D5D" w:rsidRDefault="000F1D5D" w:rsidP="00C55663">
      <w:pPr>
        <w:pStyle w:val="MAINBODY"/>
        <w:spacing w:line="480" w:lineRule="auto"/>
        <w:ind w:firstLine="0"/>
      </w:pPr>
      <w:r>
        <w:t>TI: Trigger Interface</w:t>
      </w:r>
    </w:p>
    <w:p w:rsidR="000F1D5D" w:rsidRDefault="000F1D5D" w:rsidP="00C55663">
      <w:pPr>
        <w:pStyle w:val="MAINBODY"/>
        <w:spacing w:line="480" w:lineRule="auto"/>
        <w:ind w:firstLine="0"/>
      </w:pPr>
      <w:r>
        <w:t>TD: Trigger Distribution</w:t>
      </w:r>
    </w:p>
    <w:p w:rsidR="000F1D5D" w:rsidRDefault="000F1D5D" w:rsidP="00C55663">
      <w:pPr>
        <w:pStyle w:val="MAINBODY"/>
        <w:spacing w:line="480" w:lineRule="auto"/>
        <w:ind w:firstLine="0"/>
      </w:pPr>
      <w:r>
        <w:t>TS: Trigger Supervisor</w:t>
      </w:r>
    </w:p>
    <w:p w:rsidR="000F1D5D" w:rsidRDefault="000F1D5D" w:rsidP="00C55663">
      <w:pPr>
        <w:pStyle w:val="MAINBODY"/>
        <w:spacing w:line="480" w:lineRule="auto"/>
        <w:ind w:firstLine="0"/>
      </w:pPr>
      <w:r>
        <w:t>SD: Signal Distribution</w:t>
      </w:r>
    </w:p>
    <w:p w:rsidR="000F1D5D" w:rsidRDefault="000F1D5D" w:rsidP="00C55663">
      <w:pPr>
        <w:pStyle w:val="MAINBODY"/>
        <w:spacing w:line="480" w:lineRule="auto"/>
        <w:ind w:firstLine="0"/>
      </w:pPr>
      <w:r>
        <w:t>GTP: Global Trigger Processor</w:t>
      </w:r>
    </w:p>
    <w:p w:rsidR="000F1D5D" w:rsidRDefault="000F1D5D" w:rsidP="00C55663">
      <w:pPr>
        <w:pStyle w:val="MAINBODY"/>
        <w:spacing w:line="480" w:lineRule="auto"/>
        <w:ind w:firstLine="0"/>
      </w:pPr>
      <w:r>
        <w:t>CTP: Crate Trigger Processor</w:t>
      </w:r>
    </w:p>
    <w:p w:rsidR="000F1D5D" w:rsidRDefault="000F1D5D" w:rsidP="00C55663">
      <w:pPr>
        <w:pStyle w:val="MAINBODY"/>
        <w:spacing w:line="480" w:lineRule="auto"/>
        <w:ind w:firstLine="0"/>
      </w:pPr>
      <w:r>
        <w:t>ROC: ReadOut Controller</w:t>
      </w:r>
    </w:p>
    <w:p w:rsidR="000F1D5D" w:rsidRDefault="00D756EA" w:rsidP="00C55663">
      <w:pPr>
        <w:pStyle w:val="MAINBODY"/>
        <w:spacing w:line="480" w:lineRule="auto"/>
        <w:ind w:firstLine="0"/>
      </w:pPr>
      <w:r>
        <w:t>DAQ: Data Acquisition</w:t>
      </w:r>
    </w:p>
    <w:p w:rsidR="00C13BCD" w:rsidRDefault="00C13BCD" w:rsidP="00C55663">
      <w:pPr>
        <w:pStyle w:val="MAINBODY"/>
        <w:spacing w:line="480" w:lineRule="auto"/>
        <w:ind w:firstLine="0"/>
      </w:pPr>
      <w:r>
        <w:t>GLUEX: Gluon Excite experiment</w:t>
      </w:r>
    </w:p>
    <w:p w:rsidR="007E1763" w:rsidRDefault="007E1763" w:rsidP="00C55663">
      <w:pPr>
        <w:pStyle w:val="MAINBODY"/>
        <w:spacing w:line="480" w:lineRule="auto"/>
        <w:ind w:firstLine="0"/>
      </w:pPr>
      <w:r>
        <w:t>FPGA: Field Programmable Gate Array</w:t>
      </w:r>
    </w:p>
    <w:p w:rsidR="007E1763" w:rsidRDefault="007E1763" w:rsidP="00C55663">
      <w:pPr>
        <w:pStyle w:val="MAINBODY"/>
        <w:spacing w:line="480" w:lineRule="auto"/>
        <w:ind w:firstLine="0"/>
      </w:pPr>
      <w:r>
        <w:t>PROM: Programmable Read Only Memory</w:t>
      </w:r>
    </w:p>
    <w:p w:rsidR="007E1763" w:rsidRDefault="007E1763" w:rsidP="00C55663">
      <w:pPr>
        <w:pStyle w:val="MAINBODY"/>
        <w:spacing w:line="480" w:lineRule="auto"/>
        <w:ind w:firstLine="0"/>
      </w:pPr>
      <w:r>
        <w:t>LVPECL: Low Voltage Positive Emmission Coupling Logic signals</w:t>
      </w:r>
    </w:p>
    <w:p w:rsidR="007E1763" w:rsidRDefault="007E1763" w:rsidP="00C55663">
      <w:pPr>
        <w:pStyle w:val="MAINBODY"/>
        <w:spacing w:line="480" w:lineRule="auto"/>
        <w:ind w:firstLine="0"/>
      </w:pPr>
      <w:r>
        <w:t>LVDS: Low Voltage Differential Signals</w:t>
      </w:r>
    </w:p>
    <w:p w:rsidR="007E1763" w:rsidRDefault="007E1763" w:rsidP="00C55663">
      <w:pPr>
        <w:pStyle w:val="MAINBODY"/>
        <w:spacing w:line="480" w:lineRule="auto"/>
        <w:ind w:firstLine="0"/>
      </w:pPr>
      <w:r>
        <w:t>MGT: Multiple Gigibit Transceiver</w:t>
      </w:r>
    </w:p>
    <w:p w:rsidR="007E1763" w:rsidRDefault="007E1763" w:rsidP="00C55663">
      <w:pPr>
        <w:pStyle w:val="MAINBODY"/>
        <w:spacing w:line="480" w:lineRule="auto"/>
        <w:ind w:firstLine="0"/>
      </w:pPr>
      <w:r>
        <w:t>MHz: Million Hertz</w:t>
      </w:r>
    </w:p>
    <w:p w:rsidR="007E1763" w:rsidRDefault="007E1763" w:rsidP="00C55663">
      <w:pPr>
        <w:pStyle w:val="MAINBODY"/>
        <w:spacing w:line="480" w:lineRule="auto"/>
        <w:ind w:firstLine="0"/>
      </w:pPr>
      <w:r>
        <w:t>ns: Nano-second, or one billionth of a second</w:t>
      </w:r>
    </w:p>
    <w:p w:rsidR="007E1763" w:rsidRDefault="007A5EE3" w:rsidP="00C55663">
      <w:pPr>
        <w:pStyle w:val="MAINBODY"/>
        <w:spacing w:line="480" w:lineRule="auto"/>
        <w:ind w:firstLine="0"/>
      </w:pPr>
      <w:r>
        <w:t>p</w:t>
      </w:r>
      <w:r w:rsidR="007E1763">
        <w:t xml:space="preserve">s: </w:t>
      </w:r>
      <w:r>
        <w:t>Pico</w:t>
      </w:r>
      <w:r w:rsidR="007E1763">
        <w:t>-second, or one trillionth of a second</w:t>
      </w:r>
    </w:p>
    <w:p w:rsidR="007E1763" w:rsidRDefault="007E1763" w:rsidP="00C55663">
      <w:pPr>
        <w:pStyle w:val="MAINBODY"/>
        <w:spacing w:line="480" w:lineRule="auto"/>
        <w:ind w:firstLine="0"/>
      </w:pPr>
      <w:r>
        <w:t>Mbps: Million bits per second</w:t>
      </w:r>
    </w:p>
    <w:p w:rsidR="007E1763" w:rsidRDefault="007E1763" w:rsidP="007E1763">
      <w:pPr>
        <w:pStyle w:val="MAINHEADINGS"/>
        <w:spacing w:line="480" w:lineRule="auto"/>
        <w:rPr>
          <w:color w:val="000000"/>
        </w:rPr>
      </w:pPr>
      <w:r>
        <w:rPr>
          <w:color w:val="000000"/>
        </w:rPr>
        <w:t>Figure Captions</w:t>
      </w:r>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r>
        <w:fldChar w:fldCharType="begin"/>
      </w:r>
      <w:r w:rsidR="000C265B">
        <w:instrText xml:space="preserve"> TOC \h \z \c "Figure" </w:instrText>
      </w:r>
      <w:r>
        <w:fldChar w:fldCharType="separate"/>
      </w:r>
      <w:hyperlink w:anchor="_Toc298402125" w:history="1">
        <w:r w:rsidR="000C265B" w:rsidRPr="00683EE2">
          <w:rPr>
            <w:rStyle w:val="Hyperlink"/>
            <w:noProof/>
          </w:rPr>
          <w:t>Figure 1 GlueX experiment for CEBAF 12 GeV upgrade</w:t>
        </w:r>
        <w:r w:rsidR="000C265B">
          <w:rPr>
            <w:noProof/>
            <w:webHidden/>
          </w:rPr>
          <w:tab/>
        </w:r>
        <w:r>
          <w:rPr>
            <w:noProof/>
            <w:webHidden/>
          </w:rPr>
          <w:fldChar w:fldCharType="begin"/>
        </w:r>
        <w:r w:rsidR="000C265B">
          <w:rPr>
            <w:noProof/>
            <w:webHidden/>
          </w:rPr>
          <w:instrText xml:space="preserve"> PAGEREF _Toc298402125 \h </w:instrText>
        </w:r>
        <w:r>
          <w:rPr>
            <w:noProof/>
            <w:webHidden/>
          </w:rPr>
        </w:r>
        <w:r>
          <w:rPr>
            <w:noProof/>
            <w:webHidden/>
          </w:rPr>
          <w:fldChar w:fldCharType="separate"/>
        </w:r>
        <w:r w:rsidR="00CD6839">
          <w:rPr>
            <w:noProof/>
            <w:webHidden/>
          </w:rPr>
          <w:t>3</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26" w:history="1">
        <w:r w:rsidR="000C265B" w:rsidRPr="00683EE2">
          <w:rPr>
            <w:rStyle w:val="Hyperlink"/>
            <w:noProof/>
          </w:rPr>
          <w:t>Figure 2 Diagram of the trigger and clock distribution system</w:t>
        </w:r>
        <w:r w:rsidR="000C265B">
          <w:rPr>
            <w:noProof/>
            <w:webHidden/>
          </w:rPr>
          <w:tab/>
        </w:r>
        <w:r>
          <w:rPr>
            <w:noProof/>
            <w:webHidden/>
          </w:rPr>
          <w:fldChar w:fldCharType="begin"/>
        </w:r>
        <w:r w:rsidR="000C265B">
          <w:rPr>
            <w:noProof/>
            <w:webHidden/>
          </w:rPr>
          <w:instrText xml:space="preserve"> PAGEREF _Toc298402126 \h </w:instrText>
        </w:r>
        <w:r>
          <w:rPr>
            <w:noProof/>
            <w:webHidden/>
          </w:rPr>
        </w:r>
        <w:r>
          <w:rPr>
            <w:noProof/>
            <w:webHidden/>
          </w:rPr>
          <w:fldChar w:fldCharType="separate"/>
        </w:r>
        <w:r w:rsidR="00CD6839">
          <w:rPr>
            <w:noProof/>
            <w:webHidden/>
          </w:rPr>
          <w:t>4</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27" w:history="1">
        <w:r w:rsidR="000C265B" w:rsidRPr="00683EE2">
          <w:rPr>
            <w:rStyle w:val="Hyperlink"/>
            <w:noProof/>
          </w:rPr>
          <w:t>Figure 3 picture of Trigger Supervisor (TS) printed circuit board</w:t>
        </w:r>
        <w:r w:rsidR="000C265B">
          <w:rPr>
            <w:noProof/>
            <w:webHidden/>
          </w:rPr>
          <w:tab/>
        </w:r>
        <w:r>
          <w:rPr>
            <w:noProof/>
            <w:webHidden/>
          </w:rPr>
          <w:fldChar w:fldCharType="begin"/>
        </w:r>
        <w:r w:rsidR="000C265B">
          <w:rPr>
            <w:noProof/>
            <w:webHidden/>
          </w:rPr>
          <w:instrText xml:space="preserve"> PAGEREF _Toc298402127 \h </w:instrText>
        </w:r>
        <w:r>
          <w:rPr>
            <w:noProof/>
            <w:webHidden/>
          </w:rPr>
        </w:r>
        <w:r>
          <w:rPr>
            <w:noProof/>
            <w:webHidden/>
          </w:rPr>
          <w:fldChar w:fldCharType="separate"/>
        </w:r>
        <w:r w:rsidR="00CD6839">
          <w:rPr>
            <w:noProof/>
            <w:webHidden/>
          </w:rPr>
          <w:t>6</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28" w:history="1">
        <w:r w:rsidR="000C265B" w:rsidRPr="00683EE2">
          <w:rPr>
            <w:rStyle w:val="Hyperlink"/>
            <w:noProof/>
          </w:rPr>
          <w:t>Figure 4 TS functional diagram</w:t>
        </w:r>
        <w:r w:rsidR="000C265B">
          <w:rPr>
            <w:noProof/>
            <w:webHidden/>
          </w:rPr>
          <w:tab/>
        </w:r>
        <w:r>
          <w:rPr>
            <w:noProof/>
            <w:webHidden/>
          </w:rPr>
          <w:fldChar w:fldCharType="begin"/>
        </w:r>
        <w:r w:rsidR="000C265B">
          <w:rPr>
            <w:noProof/>
            <w:webHidden/>
          </w:rPr>
          <w:instrText xml:space="preserve"> PAGEREF _Toc298402128 \h </w:instrText>
        </w:r>
        <w:r>
          <w:rPr>
            <w:noProof/>
            <w:webHidden/>
          </w:rPr>
        </w:r>
        <w:r>
          <w:rPr>
            <w:noProof/>
            <w:webHidden/>
          </w:rPr>
          <w:fldChar w:fldCharType="separate"/>
        </w:r>
        <w:r w:rsidR="00CD6839">
          <w:rPr>
            <w:noProof/>
            <w:webHidden/>
          </w:rPr>
          <w:t>7</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29" w:history="1">
        <w:r w:rsidR="000C265B" w:rsidRPr="00683EE2">
          <w:rPr>
            <w:rStyle w:val="Hyperlink"/>
            <w:noProof/>
          </w:rPr>
          <w:t>Figure 5  Functional diagram of TS trigger word generation inside the FPGA</w:t>
        </w:r>
        <w:r w:rsidR="000C265B">
          <w:rPr>
            <w:noProof/>
            <w:webHidden/>
          </w:rPr>
          <w:tab/>
        </w:r>
        <w:r>
          <w:rPr>
            <w:noProof/>
            <w:webHidden/>
          </w:rPr>
          <w:fldChar w:fldCharType="begin"/>
        </w:r>
        <w:r w:rsidR="000C265B">
          <w:rPr>
            <w:noProof/>
            <w:webHidden/>
          </w:rPr>
          <w:instrText xml:space="preserve"> PAGEREF _Toc298402129 \h </w:instrText>
        </w:r>
        <w:r>
          <w:rPr>
            <w:noProof/>
            <w:webHidden/>
          </w:rPr>
        </w:r>
        <w:r>
          <w:rPr>
            <w:noProof/>
            <w:webHidden/>
          </w:rPr>
          <w:fldChar w:fldCharType="separate"/>
        </w:r>
        <w:r w:rsidR="00CD6839">
          <w:rPr>
            <w:noProof/>
            <w:webHidden/>
          </w:rPr>
          <w:t>9</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0" w:history="1">
        <w:r w:rsidR="000C265B" w:rsidRPr="00683EE2">
          <w:rPr>
            <w:rStyle w:val="Hyperlink"/>
            <w:noProof/>
          </w:rPr>
          <w:t>Figure 6  The Signal Distribution Module</w:t>
        </w:r>
        <w:r w:rsidR="000C265B">
          <w:rPr>
            <w:noProof/>
            <w:webHidden/>
          </w:rPr>
          <w:tab/>
        </w:r>
        <w:r>
          <w:rPr>
            <w:noProof/>
            <w:webHidden/>
          </w:rPr>
          <w:fldChar w:fldCharType="begin"/>
        </w:r>
        <w:r w:rsidR="000C265B">
          <w:rPr>
            <w:noProof/>
            <w:webHidden/>
          </w:rPr>
          <w:instrText xml:space="preserve"> PAGEREF _Toc298402130 \h </w:instrText>
        </w:r>
        <w:r>
          <w:rPr>
            <w:noProof/>
            <w:webHidden/>
          </w:rPr>
        </w:r>
        <w:r>
          <w:rPr>
            <w:noProof/>
            <w:webHidden/>
          </w:rPr>
          <w:fldChar w:fldCharType="separate"/>
        </w:r>
        <w:r w:rsidR="00CD6839">
          <w:rPr>
            <w:noProof/>
            <w:webHidden/>
          </w:rPr>
          <w:t>11</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1" w:history="1">
        <w:r w:rsidR="000C265B" w:rsidRPr="00683EE2">
          <w:rPr>
            <w:rStyle w:val="Hyperlink"/>
            <w:noProof/>
          </w:rPr>
          <w:t>Figure 7 Trigger Distribution (TD) board.</w:t>
        </w:r>
        <w:r w:rsidR="000C265B">
          <w:rPr>
            <w:noProof/>
            <w:webHidden/>
          </w:rPr>
          <w:tab/>
        </w:r>
        <w:r>
          <w:rPr>
            <w:noProof/>
            <w:webHidden/>
          </w:rPr>
          <w:fldChar w:fldCharType="begin"/>
        </w:r>
        <w:r w:rsidR="000C265B">
          <w:rPr>
            <w:noProof/>
            <w:webHidden/>
          </w:rPr>
          <w:instrText xml:space="preserve"> PAGEREF _Toc298402131 \h </w:instrText>
        </w:r>
        <w:r>
          <w:rPr>
            <w:noProof/>
            <w:webHidden/>
          </w:rPr>
        </w:r>
        <w:r>
          <w:rPr>
            <w:noProof/>
            <w:webHidden/>
          </w:rPr>
          <w:fldChar w:fldCharType="separate"/>
        </w:r>
        <w:r w:rsidR="00CD6839">
          <w:rPr>
            <w:noProof/>
            <w:webHidden/>
          </w:rPr>
          <w:t>12</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2" w:history="1">
        <w:r w:rsidR="000C265B" w:rsidRPr="00683EE2">
          <w:rPr>
            <w:rStyle w:val="Hyperlink"/>
            <w:noProof/>
          </w:rPr>
          <w:t>Figure 8 Trigger Interface card.  The TI shares the same PCB design as TD, but the components are populated differently from the TD.</w:t>
        </w:r>
        <w:r w:rsidR="000C265B">
          <w:rPr>
            <w:noProof/>
            <w:webHidden/>
          </w:rPr>
          <w:tab/>
        </w:r>
        <w:r>
          <w:rPr>
            <w:noProof/>
            <w:webHidden/>
          </w:rPr>
          <w:fldChar w:fldCharType="begin"/>
        </w:r>
        <w:r w:rsidR="000C265B">
          <w:rPr>
            <w:noProof/>
            <w:webHidden/>
          </w:rPr>
          <w:instrText xml:space="preserve"> PAGEREF _Toc298402132 \h </w:instrText>
        </w:r>
        <w:r>
          <w:rPr>
            <w:noProof/>
            <w:webHidden/>
          </w:rPr>
        </w:r>
        <w:r>
          <w:rPr>
            <w:noProof/>
            <w:webHidden/>
          </w:rPr>
          <w:fldChar w:fldCharType="separate"/>
        </w:r>
        <w:r w:rsidR="00CD6839">
          <w:rPr>
            <w:noProof/>
            <w:webHidden/>
          </w:rPr>
          <w:t>13</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3" w:history="1">
        <w:r w:rsidR="000C265B" w:rsidRPr="00683EE2">
          <w:rPr>
            <w:rStyle w:val="Hyperlink"/>
            <w:noProof/>
          </w:rPr>
          <w:t>Figure 9 Trigger Interface card functional diagram</w:t>
        </w:r>
        <w:r w:rsidR="000C265B">
          <w:rPr>
            <w:noProof/>
            <w:webHidden/>
          </w:rPr>
          <w:tab/>
        </w:r>
        <w:r>
          <w:rPr>
            <w:noProof/>
            <w:webHidden/>
          </w:rPr>
          <w:fldChar w:fldCharType="begin"/>
        </w:r>
        <w:r w:rsidR="000C265B">
          <w:rPr>
            <w:noProof/>
            <w:webHidden/>
          </w:rPr>
          <w:instrText xml:space="preserve"> PAGEREF _Toc298402133 \h </w:instrText>
        </w:r>
        <w:r>
          <w:rPr>
            <w:noProof/>
            <w:webHidden/>
          </w:rPr>
        </w:r>
        <w:r>
          <w:rPr>
            <w:noProof/>
            <w:webHidden/>
          </w:rPr>
          <w:fldChar w:fldCharType="separate"/>
        </w:r>
        <w:r w:rsidR="00CD6839">
          <w:rPr>
            <w:noProof/>
            <w:webHidden/>
          </w:rPr>
          <w:t>14</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4" w:history="1">
        <w:r w:rsidR="000C265B" w:rsidRPr="00683EE2">
          <w:rPr>
            <w:rStyle w:val="Hyperlink"/>
            <w:noProof/>
          </w:rPr>
          <w:t>Figure 10  TI FPGA functional diagram</w:t>
        </w:r>
        <w:r w:rsidR="000C265B">
          <w:rPr>
            <w:noProof/>
            <w:webHidden/>
          </w:rPr>
          <w:tab/>
        </w:r>
        <w:r>
          <w:rPr>
            <w:noProof/>
            <w:webHidden/>
          </w:rPr>
          <w:fldChar w:fldCharType="begin"/>
        </w:r>
        <w:r w:rsidR="000C265B">
          <w:rPr>
            <w:noProof/>
            <w:webHidden/>
          </w:rPr>
          <w:instrText xml:space="preserve"> PAGEREF _Toc298402134 \h </w:instrText>
        </w:r>
        <w:r>
          <w:rPr>
            <w:noProof/>
            <w:webHidden/>
          </w:rPr>
        </w:r>
        <w:r>
          <w:rPr>
            <w:noProof/>
            <w:webHidden/>
          </w:rPr>
          <w:fldChar w:fldCharType="separate"/>
        </w:r>
        <w:r w:rsidR="00CD6839">
          <w:rPr>
            <w:noProof/>
            <w:webHidden/>
          </w:rPr>
          <w:t>15</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5" w:history="1">
        <w:r w:rsidR="000C265B" w:rsidRPr="00683EE2">
          <w:rPr>
            <w:rStyle w:val="Hyperlink"/>
            <w:noProof/>
          </w:rPr>
          <w:t>Figure 11 Trigger synchronization between TIs</w:t>
        </w:r>
        <w:r w:rsidR="000C265B">
          <w:rPr>
            <w:noProof/>
            <w:webHidden/>
          </w:rPr>
          <w:tab/>
        </w:r>
        <w:r>
          <w:rPr>
            <w:noProof/>
            <w:webHidden/>
          </w:rPr>
          <w:fldChar w:fldCharType="begin"/>
        </w:r>
        <w:r w:rsidR="000C265B">
          <w:rPr>
            <w:noProof/>
            <w:webHidden/>
          </w:rPr>
          <w:instrText xml:space="preserve"> PAGEREF _Toc298402135 \h </w:instrText>
        </w:r>
        <w:r>
          <w:rPr>
            <w:noProof/>
            <w:webHidden/>
          </w:rPr>
        </w:r>
        <w:r>
          <w:rPr>
            <w:noProof/>
            <w:webHidden/>
          </w:rPr>
          <w:fldChar w:fldCharType="separate"/>
        </w:r>
        <w:r w:rsidR="00CD6839">
          <w:rPr>
            <w:noProof/>
            <w:webHidden/>
          </w:rPr>
          <w:t>16</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6" w:history="1">
        <w:r w:rsidR="000C265B" w:rsidRPr="00683EE2">
          <w:rPr>
            <w:rStyle w:val="Hyperlink"/>
            <w:noProof/>
          </w:rPr>
          <w:t>Figure 12 Distributed clock jitters</w:t>
        </w:r>
        <w:r w:rsidR="007A5EE3">
          <w:rPr>
            <w:rStyle w:val="Hyperlink"/>
            <w:noProof/>
          </w:rPr>
          <w:t xml:space="preserve"> as seen on front end crate.  2ps before SD clean up, and 1 p</w:t>
        </w:r>
        <w:r w:rsidR="000C265B" w:rsidRPr="00683EE2">
          <w:rPr>
            <w:rStyle w:val="Hyperlink"/>
            <w:noProof/>
          </w:rPr>
          <w:t>s after SD clean up</w:t>
        </w:r>
        <w:r w:rsidR="000C265B">
          <w:rPr>
            <w:noProof/>
            <w:webHidden/>
          </w:rPr>
          <w:tab/>
        </w:r>
        <w:r>
          <w:rPr>
            <w:noProof/>
            <w:webHidden/>
          </w:rPr>
          <w:fldChar w:fldCharType="begin"/>
        </w:r>
        <w:r w:rsidR="000C265B">
          <w:rPr>
            <w:noProof/>
            <w:webHidden/>
          </w:rPr>
          <w:instrText xml:space="preserve"> PAGEREF _Toc298402136 \h </w:instrText>
        </w:r>
        <w:r>
          <w:rPr>
            <w:noProof/>
            <w:webHidden/>
          </w:rPr>
        </w:r>
        <w:r>
          <w:rPr>
            <w:noProof/>
            <w:webHidden/>
          </w:rPr>
          <w:fldChar w:fldCharType="separate"/>
        </w:r>
        <w:r w:rsidR="00CD6839">
          <w:rPr>
            <w:noProof/>
            <w:webHidden/>
          </w:rPr>
          <w:t>18</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7" w:history="1">
        <w:r w:rsidR="000C265B" w:rsidRPr="00683EE2">
          <w:rPr>
            <w:rStyle w:val="Hyperlink"/>
            <w:noProof/>
          </w:rPr>
          <w:t>Figure 13 DAQ synchronization</w:t>
        </w:r>
        <w:r w:rsidR="000C265B">
          <w:rPr>
            <w:noProof/>
            <w:webHidden/>
          </w:rPr>
          <w:tab/>
        </w:r>
        <w:r>
          <w:rPr>
            <w:noProof/>
            <w:webHidden/>
          </w:rPr>
          <w:fldChar w:fldCharType="begin"/>
        </w:r>
        <w:r w:rsidR="000C265B">
          <w:rPr>
            <w:noProof/>
            <w:webHidden/>
          </w:rPr>
          <w:instrText xml:space="preserve"> PAGEREF _Toc298402137 \h </w:instrText>
        </w:r>
        <w:r>
          <w:rPr>
            <w:noProof/>
            <w:webHidden/>
          </w:rPr>
        </w:r>
        <w:r>
          <w:rPr>
            <w:noProof/>
            <w:webHidden/>
          </w:rPr>
          <w:fldChar w:fldCharType="separate"/>
        </w:r>
        <w:r w:rsidR="00CD6839">
          <w:rPr>
            <w:noProof/>
            <w:webHidden/>
          </w:rPr>
          <w:t>18</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8" w:history="1">
        <w:r w:rsidR="000C265B" w:rsidRPr="00683EE2">
          <w:rPr>
            <w:rStyle w:val="Hyperlink"/>
            <w:noProof/>
          </w:rPr>
          <w:t>Figure 14 Subsystem testing/commissioning for up to nine Front End Crates</w:t>
        </w:r>
        <w:r w:rsidR="000C265B">
          <w:rPr>
            <w:noProof/>
            <w:webHidden/>
          </w:rPr>
          <w:tab/>
        </w:r>
        <w:r>
          <w:rPr>
            <w:noProof/>
            <w:webHidden/>
          </w:rPr>
          <w:fldChar w:fldCharType="begin"/>
        </w:r>
        <w:r w:rsidR="000C265B">
          <w:rPr>
            <w:noProof/>
            <w:webHidden/>
          </w:rPr>
          <w:instrText xml:space="preserve"> PAGEREF _Toc298402138 \h </w:instrText>
        </w:r>
        <w:r>
          <w:rPr>
            <w:noProof/>
            <w:webHidden/>
          </w:rPr>
        </w:r>
        <w:r>
          <w:rPr>
            <w:noProof/>
            <w:webHidden/>
          </w:rPr>
          <w:fldChar w:fldCharType="separate"/>
        </w:r>
        <w:r w:rsidR="00CD6839">
          <w:rPr>
            <w:noProof/>
            <w:webHidden/>
          </w:rPr>
          <w:t>21</w:t>
        </w:r>
        <w:r>
          <w:rPr>
            <w:noProof/>
            <w:webHidden/>
          </w:rPr>
          <w:fldChar w:fldCharType="end"/>
        </w:r>
      </w:hyperlink>
    </w:p>
    <w:p w:rsidR="000C265B" w:rsidRDefault="005B78AE" w:rsidP="000C265B">
      <w:pPr>
        <w:pStyle w:val="TableofFigures"/>
        <w:tabs>
          <w:tab w:val="right" w:leader="dot" w:pos="9016"/>
        </w:tabs>
        <w:spacing w:after="240"/>
        <w:rPr>
          <w:rFonts w:asciiTheme="minorHAnsi" w:eastAsiaTheme="minorEastAsia" w:hAnsiTheme="minorHAnsi" w:cstheme="minorBidi"/>
          <w:noProof/>
          <w:sz w:val="22"/>
          <w:szCs w:val="22"/>
          <w:lang w:val="en-US"/>
        </w:rPr>
      </w:pPr>
      <w:hyperlink w:anchor="_Toc298402139" w:history="1">
        <w:r w:rsidR="000C265B" w:rsidRPr="00683EE2">
          <w:rPr>
            <w:rStyle w:val="Hyperlink"/>
            <w:noProof/>
          </w:rPr>
          <w:t>Figure 15 Three crates setup for the trigger and clock distribution</w:t>
        </w:r>
        <w:r w:rsidR="000C265B">
          <w:rPr>
            <w:noProof/>
            <w:webHidden/>
          </w:rPr>
          <w:tab/>
        </w:r>
        <w:r>
          <w:rPr>
            <w:noProof/>
            <w:webHidden/>
          </w:rPr>
          <w:fldChar w:fldCharType="begin"/>
        </w:r>
        <w:r w:rsidR="000C265B">
          <w:rPr>
            <w:noProof/>
            <w:webHidden/>
          </w:rPr>
          <w:instrText xml:space="preserve"> PAGEREF _Toc298402139 \h </w:instrText>
        </w:r>
        <w:r>
          <w:rPr>
            <w:noProof/>
            <w:webHidden/>
          </w:rPr>
        </w:r>
        <w:r>
          <w:rPr>
            <w:noProof/>
            <w:webHidden/>
          </w:rPr>
          <w:fldChar w:fldCharType="separate"/>
        </w:r>
        <w:r w:rsidR="00CD6839">
          <w:rPr>
            <w:noProof/>
            <w:webHidden/>
          </w:rPr>
          <w:t>22</w:t>
        </w:r>
        <w:r>
          <w:rPr>
            <w:noProof/>
            <w:webHidden/>
          </w:rPr>
          <w:fldChar w:fldCharType="end"/>
        </w:r>
      </w:hyperlink>
    </w:p>
    <w:p w:rsidR="005D6B10" w:rsidRDefault="005B78AE" w:rsidP="000C265B">
      <w:pPr>
        <w:spacing w:after="240" w:line="480" w:lineRule="auto"/>
      </w:pPr>
      <w:r>
        <w:fldChar w:fldCharType="end"/>
      </w:r>
    </w:p>
    <w:sectPr w:rsidR="005D6B10" w:rsidSect="00C7623F">
      <w:type w:val="continuous"/>
      <w:pgSz w:w="11906" w:h="16838" w:code="9"/>
      <w:pgMar w:top="1584" w:right="1440" w:bottom="1224" w:left="1440" w:header="720" w:footer="720" w:gutter="0"/>
      <w:lnNumType w:countBy="1"/>
      <w:cols w:space="2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1AD" w:rsidRDefault="00C871AD">
      <w:r>
        <w:separator/>
      </w:r>
    </w:p>
  </w:endnote>
  <w:endnote w:type="continuationSeparator" w:id="0">
    <w:p w:rsidR="00C871AD" w:rsidRDefault="00C871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C86" w:rsidRDefault="005B78AE">
    <w:pPr>
      <w:pStyle w:val="Footer"/>
      <w:framePr w:wrap="around" w:vAnchor="text" w:hAnchor="margin" w:xAlign="right" w:y="1"/>
      <w:rPr>
        <w:rStyle w:val="PageNumber"/>
      </w:rPr>
    </w:pPr>
    <w:r>
      <w:rPr>
        <w:rStyle w:val="PageNumber"/>
      </w:rPr>
      <w:fldChar w:fldCharType="begin"/>
    </w:r>
    <w:r w:rsidR="00FB3C86">
      <w:rPr>
        <w:rStyle w:val="PageNumber"/>
      </w:rPr>
      <w:instrText xml:space="preserve">PAGE  </w:instrText>
    </w:r>
    <w:r>
      <w:rPr>
        <w:rStyle w:val="PageNumber"/>
      </w:rPr>
      <w:fldChar w:fldCharType="end"/>
    </w:r>
  </w:p>
  <w:p w:rsidR="00FB3C86" w:rsidRDefault="00FB3C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C86" w:rsidRDefault="005B78AE">
    <w:pPr>
      <w:pStyle w:val="Footer"/>
      <w:framePr w:wrap="around" w:vAnchor="text" w:hAnchor="margin" w:xAlign="right" w:y="1"/>
      <w:rPr>
        <w:rStyle w:val="PageNumber"/>
      </w:rPr>
    </w:pPr>
    <w:r>
      <w:rPr>
        <w:rStyle w:val="PageNumber"/>
      </w:rPr>
      <w:fldChar w:fldCharType="begin"/>
    </w:r>
    <w:r w:rsidR="00FB3C86">
      <w:rPr>
        <w:rStyle w:val="PageNumber"/>
      </w:rPr>
      <w:instrText xml:space="preserve">PAGE  </w:instrText>
    </w:r>
    <w:r>
      <w:rPr>
        <w:rStyle w:val="PageNumber"/>
      </w:rPr>
      <w:fldChar w:fldCharType="separate"/>
    </w:r>
    <w:r w:rsidR="00FB342E">
      <w:rPr>
        <w:rStyle w:val="PageNumber"/>
        <w:noProof/>
      </w:rPr>
      <w:t>26</w:t>
    </w:r>
    <w:r>
      <w:rPr>
        <w:rStyle w:val="PageNumber"/>
      </w:rPr>
      <w:fldChar w:fldCharType="end"/>
    </w:r>
  </w:p>
  <w:p w:rsidR="00FB3C86" w:rsidRDefault="00FB3C8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1AD" w:rsidRDefault="00C871AD">
      <w:r>
        <w:separator/>
      </w:r>
    </w:p>
  </w:footnote>
  <w:footnote w:type="continuationSeparator" w:id="0">
    <w:p w:rsidR="00C871AD" w:rsidRDefault="00C871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5278F7"/>
    <w:multiLevelType w:val="multilevel"/>
    <w:tmpl w:val="19C636AE"/>
    <w:lvl w:ilvl="0">
      <w:start w:val="1"/>
      <w:numFmt w:val="upperRoman"/>
      <w:pStyle w:val="MAINHEADINGS"/>
      <w:lvlText w:val="%1."/>
      <w:lvlJc w:val="left"/>
      <w:pPr>
        <w:tabs>
          <w:tab w:val="num" w:pos="360"/>
        </w:tabs>
        <w:ind w:left="357" w:hanging="357"/>
      </w:pPr>
      <w:rPr>
        <w:rFonts w:hint="default"/>
      </w:rPr>
    </w:lvl>
    <w:lvl w:ilvl="1">
      <w:start w:val="1"/>
      <w:numFmt w:val="upperLetter"/>
      <w:pStyle w:val="Subheadings"/>
      <w:lvlText w:val="%2."/>
      <w:lvlJc w:val="left"/>
      <w:pPr>
        <w:tabs>
          <w:tab w:val="num" w:pos="284"/>
        </w:tabs>
        <w:ind w:left="284" w:firstLine="0"/>
      </w:pPr>
      <w:rPr>
        <w:rFonts w:hint="default"/>
      </w:rPr>
    </w:lvl>
    <w:lvl w:ilvl="2">
      <w:start w:val="1"/>
      <w:numFmt w:val="decimal"/>
      <w:pStyle w:val="Sub-subheadings"/>
      <w:lvlText w:val="%3)"/>
      <w:lvlJc w:val="left"/>
      <w:pPr>
        <w:tabs>
          <w:tab w:val="num" w:pos="284"/>
        </w:tabs>
        <w:ind w:left="284" w:hanging="284"/>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nsid w:val="0C64017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9E63670"/>
    <w:multiLevelType w:val="multilevel"/>
    <w:tmpl w:val="F5123E08"/>
    <w:lvl w:ilvl="0">
      <w:start w:val="1"/>
      <w:numFmt w:val="decimal"/>
      <w:lvlText w:val="Table %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DCE1FBF"/>
    <w:multiLevelType w:val="multilevel"/>
    <w:tmpl w:val="4E92A268"/>
    <w:lvl w:ilvl="0">
      <w:start w:val="1"/>
      <w:numFmt w:val="decimal"/>
      <w:lvlText w:val="Table %1."/>
      <w:lvlJc w:val="left"/>
      <w:pPr>
        <w:tabs>
          <w:tab w:val="num" w:pos="72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F665514"/>
    <w:multiLevelType w:val="multilevel"/>
    <w:tmpl w:val="C4D0E92C"/>
    <w:lvl w:ilvl="0">
      <w:start w:val="1"/>
      <w:numFmt w:val="decimal"/>
      <w:lvlText w:val="Table %1."/>
      <w:lvlJc w:val="left"/>
      <w:pPr>
        <w:tabs>
          <w:tab w:val="num" w:pos="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FF24CBC"/>
    <w:multiLevelType w:val="multilevel"/>
    <w:tmpl w:val="7766EB40"/>
    <w:lvl w:ilvl="0">
      <w:start w:val="1"/>
      <w:numFmt w:val="decimal"/>
      <w:lvlText w:val="Table %1."/>
      <w:lvlJc w:val="left"/>
      <w:pPr>
        <w:tabs>
          <w:tab w:val="num" w:pos="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6EE3208"/>
    <w:multiLevelType w:val="multilevel"/>
    <w:tmpl w:val="8E806976"/>
    <w:lvl w:ilvl="0">
      <w:start w:val="1"/>
      <w:numFmt w:val="decimal"/>
      <w:lvlText w:val="Table %1:"/>
      <w:lvlJc w:val="left"/>
      <w:pPr>
        <w:tabs>
          <w:tab w:val="num" w:pos="0"/>
        </w:tabs>
        <w:ind w:left="284" w:firstLine="7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E1E67C6"/>
    <w:multiLevelType w:val="hybridMultilevel"/>
    <w:tmpl w:val="44E8F212"/>
    <w:lvl w:ilvl="0" w:tplc="23B2E636">
      <w:start w:val="1"/>
      <w:numFmt w:val="decimal"/>
      <w:pStyle w:val="TABLECAPTION"/>
      <w:lvlText w:val="Table %1:"/>
      <w:lvlJc w:val="center"/>
      <w:pPr>
        <w:tabs>
          <w:tab w:val="num" w:pos="0"/>
        </w:tabs>
        <w:ind w:left="284" w:firstLine="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9C6F18"/>
    <w:multiLevelType w:val="multilevel"/>
    <w:tmpl w:val="CE22769E"/>
    <w:lvl w:ilvl="0">
      <w:start w:val="1"/>
      <w:numFmt w:val="upperRoman"/>
      <w:lvlText w:val="%1."/>
      <w:lvlJc w:val="left"/>
      <w:pPr>
        <w:tabs>
          <w:tab w:val="num" w:pos="360"/>
        </w:tabs>
        <w:ind w:left="357" w:hanging="357"/>
      </w:pPr>
      <w:rPr>
        <w:rFonts w:hint="default"/>
      </w:rPr>
    </w:lvl>
    <w:lvl w:ilvl="1">
      <w:start w:val="1"/>
      <w:numFmt w:val="upperLetter"/>
      <w:lvlText w:val="%2."/>
      <w:lvlJc w:val="left"/>
      <w:pPr>
        <w:tabs>
          <w:tab w:val="num" w:pos="284"/>
        </w:tabs>
        <w:ind w:left="284" w:firstLine="0"/>
      </w:pPr>
      <w:rPr>
        <w:rFonts w:hint="default"/>
      </w:rPr>
    </w:lvl>
    <w:lvl w:ilvl="2">
      <w:start w:val="1"/>
      <w:numFmt w:val="decimal"/>
      <w:lvlText w:val="%3."/>
      <w:lvlJc w:val="left"/>
      <w:pPr>
        <w:tabs>
          <w:tab w:val="num" w:pos="284"/>
        </w:tabs>
        <w:ind w:left="284" w:hanging="284"/>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39EF4C5B"/>
    <w:multiLevelType w:val="hybridMultilevel"/>
    <w:tmpl w:val="1BB41F06"/>
    <w:lvl w:ilvl="0" w:tplc="079426E8">
      <w:start w:val="1"/>
      <w:numFmt w:val="decimal"/>
      <w:lvlText w:val="Table %1."/>
      <w:lvlJc w:val="left"/>
      <w:pPr>
        <w:tabs>
          <w:tab w:val="num" w:pos="0"/>
        </w:tabs>
        <w:ind w:left="284" w:firstLine="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A6E584E"/>
    <w:multiLevelType w:val="singleLevel"/>
    <w:tmpl w:val="9782CA3C"/>
    <w:lvl w:ilvl="0">
      <w:start w:val="1"/>
      <w:numFmt w:val="decimal"/>
      <w:lvlText w:val="Table %1:"/>
      <w:lvlJc w:val="left"/>
      <w:pPr>
        <w:tabs>
          <w:tab w:val="num" w:pos="720"/>
        </w:tabs>
      </w:pPr>
      <w:rPr>
        <w:rFonts w:ascii="Times" w:hAnsi="Times" w:cs="Times" w:hint="default"/>
        <w:b w:val="0"/>
        <w:i w:val="0"/>
        <w:sz w:val="18"/>
        <w:szCs w:val="18"/>
      </w:rPr>
    </w:lvl>
  </w:abstractNum>
  <w:abstractNum w:abstractNumId="12">
    <w:nsid w:val="3DC333EA"/>
    <w:multiLevelType w:val="singleLevel"/>
    <w:tmpl w:val="FD3A36E4"/>
    <w:lvl w:ilvl="0">
      <w:start w:val="1"/>
      <w:numFmt w:val="decimal"/>
      <w:lvlText w:val="%1)"/>
      <w:lvlJc w:val="left"/>
      <w:pPr>
        <w:tabs>
          <w:tab w:val="num" w:pos="360"/>
        </w:tabs>
        <w:ind w:left="360" w:hanging="360"/>
      </w:pPr>
    </w:lvl>
  </w:abstractNum>
  <w:abstractNum w:abstractNumId="13">
    <w:nsid w:val="4C66364F"/>
    <w:multiLevelType w:val="hybridMultilevel"/>
    <w:tmpl w:val="119CE9C8"/>
    <w:lvl w:ilvl="0" w:tplc="C2D635AA">
      <w:start w:val="2"/>
      <w:numFmt w:val="bullet"/>
      <w:lvlText w:val=""/>
      <w:lvlJc w:val="left"/>
      <w:pPr>
        <w:tabs>
          <w:tab w:val="num" w:pos="720"/>
        </w:tabs>
        <w:ind w:left="720" w:hanging="360"/>
      </w:pPr>
      <w:rPr>
        <w:rFonts w:ascii="Symbol" w:eastAsia="Times New Roman" w:hAnsi="Symbol" w:cs="Time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3343882"/>
    <w:multiLevelType w:val="hybridMultilevel"/>
    <w:tmpl w:val="74322D1C"/>
    <w:lvl w:ilvl="0" w:tplc="52505D44">
      <w:start w:val="2"/>
      <w:numFmt w:val="bullet"/>
      <w:lvlText w:val=""/>
      <w:lvlJc w:val="left"/>
      <w:pPr>
        <w:tabs>
          <w:tab w:val="num" w:pos="720"/>
        </w:tabs>
        <w:ind w:left="720" w:hanging="360"/>
      </w:pPr>
      <w:rPr>
        <w:rFonts w:ascii="Symbol" w:eastAsia="Times New Roman" w:hAnsi="Symbol" w:cs="Time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EFA4C05"/>
    <w:multiLevelType w:val="singleLevel"/>
    <w:tmpl w:val="4BFA10EC"/>
    <w:lvl w:ilvl="0">
      <w:start w:val="1"/>
      <w:numFmt w:val="decimal"/>
      <w:pStyle w:val="FigureCaption"/>
      <w:lvlText w:val="Figure %1:"/>
      <w:lvlJc w:val="left"/>
      <w:pPr>
        <w:tabs>
          <w:tab w:val="num" w:pos="990"/>
        </w:tabs>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abstractNum>
  <w:abstractNum w:abstractNumId="16">
    <w:nsid w:val="74704A0B"/>
    <w:multiLevelType w:val="hybridMultilevel"/>
    <w:tmpl w:val="862A7C3A"/>
    <w:lvl w:ilvl="0" w:tplc="81B2224A">
      <w:start w:val="1"/>
      <w:numFmt w:val="decimal"/>
      <w:lvlText w:val="Figure %1:"/>
      <w:lvlJc w:val="left"/>
      <w:pPr>
        <w:tabs>
          <w:tab w:val="num" w:pos="720"/>
        </w:tabs>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9A455DF"/>
    <w:multiLevelType w:val="hybridMultilevel"/>
    <w:tmpl w:val="B7745FC8"/>
    <w:lvl w:ilvl="0" w:tplc="D3EA772A">
      <w:start w:val="1"/>
      <w:numFmt w:val="upperLetter"/>
      <w:lvlText w:val="%1."/>
      <w:lvlJc w:val="left"/>
      <w:pPr>
        <w:tabs>
          <w:tab w:val="num" w:pos="720"/>
        </w:tabs>
        <w:ind w:left="720" w:hanging="360"/>
      </w:pPr>
      <w:rPr>
        <w:rFonts w:hint="default"/>
      </w:rPr>
    </w:lvl>
    <w:lvl w:ilvl="1" w:tplc="2624BD5C">
      <w:start w:val="1"/>
      <w:numFmt w:val="lowerLetter"/>
      <w:lvlText w:val="%2."/>
      <w:lvlJc w:val="left"/>
      <w:pPr>
        <w:tabs>
          <w:tab w:val="num" w:pos="1440"/>
        </w:tabs>
        <w:ind w:left="1440" w:hanging="360"/>
      </w:pPr>
    </w:lvl>
    <w:lvl w:ilvl="2" w:tplc="11704AB8">
      <w:start w:val="1"/>
      <w:numFmt w:val="lowerRoman"/>
      <w:lvlText w:val="%3."/>
      <w:lvlJc w:val="right"/>
      <w:pPr>
        <w:tabs>
          <w:tab w:val="num" w:pos="2160"/>
        </w:tabs>
        <w:ind w:left="2160" w:hanging="180"/>
      </w:pPr>
    </w:lvl>
    <w:lvl w:ilvl="3" w:tplc="F00EE630">
      <w:start w:val="1"/>
      <w:numFmt w:val="decimal"/>
      <w:lvlText w:val="%4."/>
      <w:lvlJc w:val="left"/>
      <w:pPr>
        <w:tabs>
          <w:tab w:val="num" w:pos="2880"/>
        </w:tabs>
        <w:ind w:left="2880" w:hanging="360"/>
      </w:pPr>
    </w:lvl>
    <w:lvl w:ilvl="4" w:tplc="56AC9340">
      <w:start w:val="1"/>
      <w:numFmt w:val="lowerLetter"/>
      <w:lvlText w:val="%5."/>
      <w:lvlJc w:val="left"/>
      <w:pPr>
        <w:tabs>
          <w:tab w:val="num" w:pos="3600"/>
        </w:tabs>
        <w:ind w:left="3600" w:hanging="360"/>
      </w:pPr>
    </w:lvl>
    <w:lvl w:ilvl="5" w:tplc="86584994">
      <w:start w:val="1"/>
      <w:numFmt w:val="lowerRoman"/>
      <w:lvlText w:val="%6."/>
      <w:lvlJc w:val="right"/>
      <w:pPr>
        <w:tabs>
          <w:tab w:val="num" w:pos="4320"/>
        </w:tabs>
        <w:ind w:left="4320" w:hanging="180"/>
      </w:pPr>
    </w:lvl>
    <w:lvl w:ilvl="6" w:tplc="32C4EDFC">
      <w:start w:val="1"/>
      <w:numFmt w:val="decimal"/>
      <w:lvlText w:val="%7."/>
      <w:lvlJc w:val="left"/>
      <w:pPr>
        <w:tabs>
          <w:tab w:val="num" w:pos="5040"/>
        </w:tabs>
        <w:ind w:left="5040" w:hanging="360"/>
      </w:pPr>
    </w:lvl>
    <w:lvl w:ilvl="7" w:tplc="5F360F82">
      <w:start w:val="1"/>
      <w:numFmt w:val="lowerLetter"/>
      <w:lvlText w:val="%8."/>
      <w:lvlJc w:val="left"/>
      <w:pPr>
        <w:tabs>
          <w:tab w:val="num" w:pos="5760"/>
        </w:tabs>
        <w:ind w:left="5760" w:hanging="360"/>
      </w:pPr>
    </w:lvl>
    <w:lvl w:ilvl="8" w:tplc="63540674">
      <w:start w:val="1"/>
      <w:numFmt w:val="lowerRoman"/>
      <w:lvlText w:val="%9."/>
      <w:lvlJc w:val="right"/>
      <w:pPr>
        <w:tabs>
          <w:tab w:val="num" w:pos="6480"/>
        </w:tabs>
        <w:ind w:left="6480" w:hanging="180"/>
      </w:pPr>
    </w:lvl>
  </w:abstractNum>
  <w:abstractNum w:abstractNumId="18">
    <w:nsid w:val="7FDD1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12"/>
  </w:num>
  <w:num w:numId="3">
    <w:abstractNumId w:val="11"/>
  </w:num>
  <w:num w:numId="4">
    <w:abstractNumId w:val="0"/>
    <w:lvlOverride w:ilvl="0">
      <w:lvl w:ilvl="0">
        <w:numFmt w:val="bullet"/>
        <w:lvlText w:val=""/>
        <w:legacy w:legacy="1" w:legacySpace="0" w:legacyIndent="360"/>
        <w:lvlJc w:val="left"/>
        <w:pPr>
          <w:ind w:left="530" w:hanging="360"/>
        </w:pPr>
        <w:rPr>
          <w:rFonts w:ascii="Symbol" w:hAnsi="Symbol" w:cs="Times New Roman" w:hint="default"/>
        </w:rPr>
      </w:lvl>
    </w:lvlOverride>
  </w:num>
  <w:num w:numId="5">
    <w:abstractNumId w:val="15"/>
  </w:num>
  <w:num w:numId="6">
    <w:abstractNumId w:val="17"/>
  </w:num>
  <w:num w:numId="7">
    <w:abstractNumId w:val="17"/>
    <w:lvlOverride w:ilvl="0">
      <w:startOverride w:val="1"/>
    </w:lvlOverride>
  </w:num>
  <w:num w:numId="8">
    <w:abstractNumId w:val="17"/>
    <w:lvlOverride w:ilvl="0">
      <w:startOverride w:val="1"/>
    </w:lvlOverride>
  </w:num>
  <w:num w:numId="9">
    <w:abstractNumId w:val="17"/>
  </w:num>
  <w:num w:numId="10">
    <w:abstractNumId w:val="12"/>
  </w:num>
  <w:num w:numId="11">
    <w:abstractNumId w:val="9"/>
  </w:num>
  <w:num w:numId="12">
    <w:abstractNumId w:val="2"/>
  </w:num>
  <w:num w:numId="13">
    <w:abstractNumId w:val="11"/>
  </w:num>
  <w:num w:numId="14">
    <w:abstractNumId w:val="16"/>
  </w:num>
  <w:num w:numId="15">
    <w:abstractNumId w:val="15"/>
  </w:num>
  <w:num w:numId="16">
    <w:abstractNumId w:val="11"/>
  </w:num>
  <w:num w:numId="17">
    <w:abstractNumId w:val="15"/>
  </w:num>
  <w:num w:numId="18">
    <w:abstractNumId w:val="11"/>
  </w:num>
  <w:num w:numId="19">
    <w:abstractNumId w:val="10"/>
  </w:num>
  <w:num w:numId="20">
    <w:abstractNumId w:val="3"/>
  </w:num>
  <w:num w:numId="21">
    <w:abstractNumId w:val="10"/>
    <w:lvlOverride w:ilvl="0">
      <w:startOverride w:val="1"/>
    </w:lvlOverride>
  </w:num>
  <w:num w:numId="22">
    <w:abstractNumId w:val="4"/>
  </w:num>
  <w:num w:numId="23">
    <w:abstractNumId w:val="6"/>
  </w:num>
  <w:num w:numId="24">
    <w:abstractNumId w:val="15"/>
  </w:num>
  <w:num w:numId="25">
    <w:abstractNumId w:val="11"/>
  </w:num>
  <w:num w:numId="26">
    <w:abstractNumId w:val="15"/>
  </w:num>
  <w:num w:numId="27">
    <w:abstractNumId w:val="11"/>
  </w:num>
  <w:num w:numId="28">
    <w:abstractNumId w:val="8"/>
  </w:num>
  <w:num w:numId="29">
    <w:abstractNumId w:val="5"/>
  </w:num>
  <w:num w:numId="30">
    <w:abstractNumId w:val="7"/>
  </w:num>
  <w:num w:numId="31">
    <w:abstractNumId w:val="18"/>
  </w:num>
  <w:num w:numId="32">
    <w:abstractNumId w:val="13"/>
  </w:num>
  <w:num w:numId="33">
    <w:abstractNumId w:val="14"/>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A5483F"/>
    <w:rsid w:val="00007120"/>
    <w:rsid w:val="00011360"/>
    <w:rsid w:val="000157EE"/>
    <w:rsid w:val="00015CB6"/>
    <w:rsid w:val="00033525"/>
    <w:rsid w:val="00044E15"/>
    <w:rsid w:val="0005156D"/>
    <w:rsid w:val="00051B89"/>
    <w:rsid w:val="00052D18"/>
    <w:rsid w:val="000559A0"/>
    <w:rsid w:val="0007170F"/>
    <w:rsid w:val="0007486B"/>
    <w:rsid w:val="00074956"/>
    <w:rsid w:val="00075A9D"/>
    <w:rsid w:val="000769CD"/>
    <w:rsid w:val="000857D9"/>
    <w:rsid w:val="000B2DD0"/>
    <w:rsid w:val="000C265B"/>
    <w:rsid w:val="000D7BC5"/>
    <w:rsid w:val="000E3D9B"/>
    <w:rsid w:val="000F196A"/>
    <w:rsid w:val="000F1D5D"/>
    <w:rsid w:val="00104B24"/>
    <w:rsid w:val="0011308C"/>
    <w:rsid w:val="001203B4"/>
    <w:rsid w:val="0013041D"/>
    <w:rsid w:val="00130C8C"/>
    <w:rsid w:val="00156C90"/>
    <w:rsid w:val="00173466"/>
    <w:rsid w:val="00185E23"/>
    <w:rsid w:val="00195393"/>
    <w:rsid w:val="001A04FD"/>
    <w:rsid w:val="001A7CE7"/>
    <w:rsid w:val="001B263F"/>
    <w:rsid w:val="001C5D1F"/>
    <w:rsid w:val="001D4918"/>
    <w:rsid w:val="001E44A9"/>
    <w:rsid w:val="001E5196"/>
    <w:rsid w:val="001E6A21"/>
    <w:rsid w:val="0021327F"/>
    <w:rsid w:val="00223264"/>
    <w:rsid w:val="002311F5"/>
    <w:rsid w:val="00231ED5"/>
    <w:rsid w:val="0023208B"/>
    <w:rsid w:val="00256CB3"/>
    <w:rsid w:val="00257531"/>
    <w:rsid w:val="0026219B"/>
    <w:rsid w:val="0026440A"/>
    <w:rsid w:val="00266778"/>
    <w:rsid w:val="002835FA"/>
    <w:rsid w:val="00291553"/>
    <w:rsid w:val="00294A7E"/>
    <w:rsid w:val="002B23BB"/>
    <w:rsid w:val="002C68D4"/>
    <w:rsid w:val="002C7429"/>
    <w:rsid w:val="002D6E37"/>
    <w:rsid w:val="002E3BFA"/>
    <w:rsid w:val="002F311C"/>
    <w:rsid w:val="002F3A99"/>
    <w:rsid w:val="003052B7"/>
    <w:rsid w:val="0030545E"/>
    <w:rsid w:val="0031769F"/>
    <w:rsid w:val="00330E1D"/>
    <w:rsid w:val="00335FF6"/>
    <w:rsid w:val="00372BDB"/>
    <w:rsid w:val="00375A0C"/>
    <w:rsid w:val="00377C55"/>
    <w:rsid w:val="003856FF"/>
    <w:rsid w:val="003927C3"/>
    <w:rsid w:val="00395984"/>
    <w:rsid w:val="003A01B7"/>
    <w:rsid w:val="003A4690"/>
    <w:rsid w:val="003B11BE"/>
    <w:rsid w:val="003B2F97"/>
    <w:rsid w:val="003C3078"/>
    <w:rsid w:val="003C387E"/>
    <w:rsid w:val="003C67EA"/>
    <w:rsid w:val="003C7733"/>
    <w:rsid w:val="003E6B4F"/>
    <w:rsid w:val="00410D23"/>
    <w:rsid w:val="0041760E"/>
    <w:rsid w:val="00434E65"/>
    <w:rsid w:val="0044555C"/>
    <w:rsid w:val="00450CDA"/>
    <w:rsid w:val="00452782"/>
    <w:rsid w:val="00453318"/>
    <w:rsid w:val="00454DDE"/>
    <w:rsid w:val="00455B37"/>
    <w:rsid w:val="0045611C"/>
    <w:rsid w:val="0048289F"/>
    <w:rsid w:val="00484E1C"/>
    <w:rsid w:val="004867B8"/>
    <w:rsid w:val="00486800"/>
    <w:rsid w:val="00487E6E"/>
    <w:rsid w:val="004914B9"/>
    <w:rsid w:val="004946CF"/>
    <w:rsid w:val="004A7CB7"/>
    <w:rsid w:val="004B6BA8"/>
    <w:rsid w:val="004B6FB0"/>
    <w:rsid w:val="004C7CA7"/>
    <w:rsid w:val="004F5286"/>
    <w:rsid w:val="005404B9"/>
    <w:rsid w:val="00547041"/>
    <w:rsid w:val="005607C6"/>
    <w:rsid w:val="0057352D"/>
    <w:rsid w:val="0057444D"/>
    <w:rsid w:val="00576749"/>
    <w:rsid w:val="005A7931"/>
    <w:rsid w:val="005B78AE"/>
    <w:rsid w:val="005D6B10"/>
    <w:rsid w:val="005E7689"/>
    <w:rsid w:val="00602002"/>
    <w:rsid w:val="006070DA"/>
    <w:rsid w:val="006110D4"/>
    <w:rsid w:val="006550F6"/>
    <w:rsid w:val="00661D58"/>
    <w:rsid w:val="00672D6F"/>
    <w:rsid w:val="00672FC5"/>
    <w:rsid w:val="00682C85"/>
    <w:rsid w:val="00692946"/>
    <w:rsid w:val="00693746"/>
    <w:rsid w:val="006A1121"/>
    <w:rsid w:val="006A4CBB"/>
    <w:rsid w:val="006B30A8"/>
    <w:rsid w:val="006C3947"/>
    <w:rsid w:val="006C5552"/>
    <w:rsid w:val="006C7BB8"/>
    <w:rsid w:val="006D2E00"/>
    <w:rsid w:val="006D7427"/>
    <w:rsid w:val="006E632E"/>
    <w:rsid w:val="006F085D"/>
    <w:rsid w:val="00713BAB"/>
    <w:rsid w:val="00717021"/>
    <w:rsid w:val="0072226A"/>
    <w:rsid w:val="00725A40"/>
    <w:rsid w:val="00727AFC"/>
    <w:rsid w:val="007314F4"/>
    <w:rsid w:val="007367DF"/>
    <w:rsid w:val="00737C5A"/>
    <w:rsid w:val="0074169E"/>
    <w:rsid w:val="007460C4"/>
    <w:rsid w:val="00756007"/>
    <w:rsid w:val="00763A6C"/>
    <w:rsid w:val="00763C4C"/>
    <w:rsid w:val="00771641"/>
    <w:rsid w:val="0077357B"/>
    <w:rsid w:val="0077481C"/>
    <w:rsid w:val="00793091"/>
    <w:rsid w:val="007A5615"/>
    <w:rsid w:val="007A5EE3"/>
    <w:rsid w:val="007B0913"/>
    <w:rsid w:val="007C1B7B"/>
    <w:rsid w:val="007E1763"/>
    <w:rsid w:val="007E4D97"/>
    <w:rsid w:val="007F4DE8"/>
    <w:rsid w:val="00802638"/>
    <w:rsid w:val="008048BC"/>
    <w:rsid w:val="00821095"/>
    <w:rsid w:val="00827152"/>
    <w:rsid w:val="008273C5"/>
    <w:rsid w:val="008319F4"/>
    <w:rsid w:val="008341D6"/>
    <w:rsid w:val="00837C7F"/>
    <w:rsid w:val="00847258"/>
    <w:rsid w:val="00857F8A"/>
    <w:rsid w:val="00860C19"/>
    <w:rsid w:val="00863542"/>
    <w:rsid w:val="00864687"/>
    <w:rsid w:val="00864932"/>
    <w:rsid w:val="008757B1"/>
    <w:rsid w:val="00894D55"/>
    <w:rsid w:val="008B31AB"/>
    <w:rsid w:val="008B35F4"/>
    <w:rsid w:val="008C1496"/>
    <w:rsid w:val="008D2256"/>
    <w:rsid w:val="008D378F"/>
    <w:rsid w:val="008D5237"/>
    <w:rsid w:val="008D67B0"/>
    <w:rsid w:val="008D696D"/>
    <w:rsid w:val="008E4A49"/>
    <w:rsid w:val="008E64C1"/>
    <w:rsid w:val="008F4BC6"/>
    <w:rsid w:val="00901532"/>
    <w:rsid w:val="0092108A"/>
    <w:rsid w:val="00961426"/>
    <w:rsid w:val="00964093"/>
    <w:rsid w:val="00975372"/>
    <w:rsid w:val="00980E67"/>
    <w:rsid w:val="009860C4"/>
    <w:rsid w:val="00987BF3"/>
    <w:rsid w:val="009918DD"/>
    <w:rsid w:val="00997070"/>
    <w:rsid w:val="009A43B5"/>
    <w:rsid w:val="009B2E7A"/>
    <w:rsid w:val="009B53E5"/>
    <w:rsid w:val="009C781B"/>
    <w:rsid w:val="009D3A5B"/>
    <w:rsid w:val="009D63C6"/>
    <w:rsid w:val="009E1F15"/>
    <w:rsid w:val="009E61C6"/>
    <w:rsid w:val="009F0ABD"/>
    <w:rsid w:val="00A07EAF"/>
    <w:rsid w:val="00A3529C"/>
    <w:rsid w:val="00A372CF"/>
    <w:rsid w:val="00A431AC"/>
    <w:rsid w:val="00A442E2"/>
    <w:rsid w:val="00A47271"/>
    <w:rsid w:val="00A5398B"/>
    <w:rsid w:val="00A5483F"/>
    <w:rsid w:val="00A67330"/>
    <w:rsid w:val="00A72575"/>
    <w:rsid w:val="00A876FA"/>
    <w:rsid w:val="00A9572B"/>
    <w:rsid w:val="00AC1CAB"/>
    <w:rsid w:val="00AC4119"/>
    <w:rsid w:val="00AC4AA8"/>
    <w:rsid w:val="00AD0DBE"/>
    <w:rsid w:val="00AD2E72"/>
    <w:rsid w:val="00AD49B1"/>
    <w:rsid w:val="00AE7D9A"/>
    <w:rsid w:val="00AF7B58"/>
    <w:rsid w:val="00B01B4A"/>
    <w:rsid w:val="00B17C5D"/>
    <w:rsid w:val="00B2015E"/>
    <w:rsid w:val="00B24175"/>
    <w:rsid w:val="00B259BD"/>
    <w:rsid w:val="00B278D6"/>
    <w:rsid w:val="00B52015"/>
    <w:rsid w:val="00B6790F"/>
    <w:rsid w:val="00B70F24"/>
    <w:rsid w:val="00B721DA"/>
    <w:rsid w:val="00B72756"/>
    <w:rsid w:val="00B7351F"/>
    <w:rsid w:val="00B76CC8"/>
    <w:rsid w:val="00B95C09"/>
    <w:rsid w:val="00BA3435"/>
    <w:rsid w:val="00BB22A2"/>
    <w:rsid w:val="00BC44C4"/>
    <w:rsid w:val="00BD2754"/>
    <w:rsid w:val="00BD498D"/>
    <w:rsid w:val="00BD7D28"/>
    <w:rsid w:val="00BF03CA"/>
    <w:rsid w:val="00BF0EE8"/>
    <w:rsid w:val="00C026ED"/>
    <w:rsid w:val="00C0340B"/>
    <w:rsid w:val="00C036C5"/>
    <w:rsid w:val="00C05AC7"/>
    <w:rsid w:val="00C101DC"/>
    <w:rsid w:val="00C122F0"/>
    <w:rsid w:val="00C13BCD"/>
    <w:rsid w:val="00C21E15"/>
    <w:rsid w:val="00C27D77"/>
    <w:rsid w:val="00C4003D"/>
    <w:rsid w:val="00C51679"/>
    <w:rsid w:val="00C518DC"/>
    <w:rsid w:val="00C51B74"/>
    <w:rsid w:val="00C55663"/>
    <w:rsid w:val="00C63BAE"/>
    <w:rsid w:val="00C64040"/>
    <w:rsid w:val="00C72566"/>
    <w:rsid w:val="00C7623F"/>
    <w:rsid w:val="00C86CAB"/>
    <w:rsid w:val="00C871AD"/>
    <w:rsid w:val="00C92724"/>
    <w:rsid w:val="00C92F76"/>
    <w:rsid w:val="00C95BB1"/>
    <w:rsid w:val="00CA4C16"/>
    <w:rsid w:val="00CB1DEF"/>
    <w:rsid w:val="00CB2EAB"/>
    <w:rsid w:val="00CC672B"/>
    <w:rsid w:val="00CD4CD0"/>
    <w:rsid w:val="00CD5854"/>
    <w:rsid w:val="00CD6839"/>
    <w:rsid w:val="00CE7558"/>
    <w:rsid w:val="00CF0E5D"/>
    <w:rsid w:val="00CF0ED2"/>
    <w:rsid w:val="00D002EF"/>
    <w:rsid w:val="00D00B44"/>
    <w:rsid w:val="00D02343"/>
    <w:rsid w:val="00D33A06"/>
    <w:rsid w:val="00D41F89"/>
    <w:rsid w:val="00D46751"/>
    <w:rsid w:val="00D67E5B"/>
    <w:rsid w:val="00D72E30"/>
    <w:rsid w:val="00D756EA"/>
    <w:rsid w:val="00D8068D"/>
    <w:rsid w:val="00D824AA"/>
    <w:rsid w:val="00D84A89"/>
    <w:rsid w:val="00D921E8"/>
    <w:rsid w:val="00D944D4"/>
    <w:rsid w:val="00D97C99"/>
    <w:rsid w:val="00DA0AC3"/>
    <w:rsid w:val="00DA1D72"/>
    <w:rsid w:val="00DB049C"/>
    <w:rsid w:val="00DB16A1"/>
    <w:rsid w:val="00DD18F5"/>
    <w:rsid w:val="00DD5C9F"/>
    <w:rsid w:val="00DF10B8"/>
    <w:rsid w:val="00DF248F"/>
    <w:rsid w:val="00DF7E6B"/>
    <w:rsid w:val="00E022C6"/>
    <w:rsid w:val="00E14E05"/>
    <w:rsid w:val="00E26493"/>
    <w:rsid w:val="00E27A6E"/>
    <w:rsid w:val="00E34BC4"/>
    <w:rsid w:val="00E4156E"/>
    <w:rsid w:val="00E4459D"/>
    <w:rsid w:val="00E50ED5"/>
    <w:rsid w:val="00E524EB"/>
    <w:rsid w:val="00E52DF8"/>
    <w:rsid w:val="00E65562"/>
    <w:rsid w:val="00E65D9B"/>
    <w:rsid w:val="00E70EC5"/>
    <w:rsid w:val="00E76AE9"/>
    <w:rsid w:val="00E76DCD"/>
    <w:rsid w:val="00E80419"/>
    <w:rsid w:val="00E85D38"/>
    <w:rsid w:val="00E87BDF"/>
    <w:rsid w:val="00E95A35"/>
    <w:rsid w:val="00E96FB0"/>
    <w:rsid w:val="00EA0712"/>
    <w:rsid w:val="00EB4B43"/>
    <w:rsid w:val="00EB5445"/>
    <w:rsid w:val="00EC1956"/>
    <w:rsid w:val="00ED5D7B"/>
    <w:rsid w:val="00EE19A5"/>
    <w:rsid w:val="00EE76CC"/>
    <w:rsid w:val="00EF2C1E"/>
    <w:rsid w:val="00EF7674"/>
    <w:rsid w:val="00F039A9"/>
    <w:rsid w:val="00F0723A"/>
    <w:rsid w:val="00F07EF3"/>
    <w:rsid w:val="00F1264C"/>
    <w:rsid w:val="00F1596E"/>
    <w:rsid w:val="00F312D4"/>
    <w:rsid w:val="00F31BB8"/>
    <w:rsid w:val="00F323F7"/>
    <w:rsid w:val="00F441B6"/>
    <w:rsid w:val="00F618FA"/>
    <w:rsid w:val="00F70BEB"/>
    <w:rsid w:val="00F756C8"/>
    <w:rsid w:val="00F83756"/>
    <w:rsid w:val="00F855BB"/>
    <w:rsid w:val="00FB2107"/>
    <w:rsid w:val="00FB2CB6"/>
    <w:rsid w:val="00FB342E"/>
    <w:rsid w:val="00FB3C27"/>
    <w:rsid w:val="00FB3C86"/>
    <w:rsid w:val="00FD46BD"/>
    <w:rsid w:val="00FE1951"/>
    <w:rsid w:val="00FF68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black" strokecolor="purpl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A21"/>
    <w:pPr>
      <w:jc w:val="both"/>
    </w:pPr>
    <w:rPr>
      <w:rFonts w:ascii="Times" w:hAnsi="Times" w:cs="Times"/>
      <w:lang w:val="en-GB"/>
    </w:rPr>
  </w:style>
  <w:style w:type="paragraph" w:styleId="Heading1">
    <w:name w:val="heading 1"/>
    <w:basedOn w:val="Normal"/>
    <w:next w:val="Normal"/>
    <w:qFormat/>
    <w:rsid w:val="001E6A2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E6A2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E6A21"/>
    <w:pPr>
      <w:keepNext/>
      <w:spacing w:before="240" w:after="60"/>
      <w:outlineLvl w:val="2"/>
    </w:pPr>
    <w:rPr>
      <w:rFonts w:ascii="Arial" w:hAnsi="Arial" w:cs="Arial"/>
      <w:b/>
      <w:bCs/>
      <w:sz w:val="26"/>
      <w:szCs w:val="26"/>
    </w:rPr>
  </w:style>
  <w:style w:type="paragraph" w:styleId="Heading4">
    <w:name w:val="heading 4"/>
    <w:basedOn w:val="Normal"/>
    <w:next w:val="Normal"/>
    <w:qFormat/>
    <w:rsid w:val="001E6A21"/>
    <w:pPr>
      <w:keepNext/>
      <w:numPr>
        <w:ilvl w:val="3"/>
        <w:numId w:val="1"/>
      </w:numPr>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1E6A21"/>
    <w:pPr>
      <w:numPr>
        <w:ilvl w:val="4"/>
        <w:numId w:val="1"/>
      </w:numPr>
      <w:spacing w:before="240" w:after="60"/>
      <w:outlineLvl w:val="4"/>
    </w:pPr>
    <w:rPr>
      <w:b/>
      <w:bCs/>
      <w:i/>
      <w:iCs/>
      <w:sz w:val="26"/>
      <w:szCs w:val="26"/>
    </w:rPr>
  </w:style>
  <w:style w:type="paragraph" w:styleId="Heading6">
    <w:name w:val="heading 6"/>
    <w:basedOn w:val="Normal"/>
    <w:next w:val="Normal"/>
    <w:qFormat/>
    <w:rsid w:val="001E6A21"/>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1E6A21"/>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1E6A21"/>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1E6A2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1E6A21"/>
    <w:rPr>
      <w:vertAlign w:val="superscript"/>
    </w:rPr>
  </w:style>
  <w:style w:type="paragraph" w:customStyle="1" w:styleId="TITLE">
    <w:name w:val="TITLE"/>
    <w:basedOn w:val="Normal"/>
    <w:rsid w:val="001E6A21"/>
    <w:pPr>
      <w:spacing w:after="280"/>
      <w:jc w:val="center"/>
    </w:pPr>
    <w:rPr>
      <w:sz w:val="28"/>
      <w:szCs w:val="28"/>
    </w:rPr>
  </w:style>
  <w:style w:type="paragraph" w:customStyle="1" w:styleId="AuthorsnamesChar">
    <w:name w:val="Authors' names Char"/>
    <w:basedOn w:val="Normal"/>
    <w:rsid w:val="001E6A21"/>
    <w:pPr>
      <w:jc w:val="center"/>
    </w:pPr>
    <w:rPr>
      <w:sz w:val="24"/>
      <w:szCs w:val="24"/>
    </w:rPr>
  </w:style>
  <w:style w:type="character" w:customStyle="1" w:styleId="MAINBODYChar">
    <w:name w:val="MAIN BODY Char"/>
    <w:basedOn w:val="DefaultParagraphFont"/>
    <w:rsid w:val="001E6A21"/>
    <w:rPr>
      <w:rFonts w:ascii="Times" w:hAnsi="Times" w:cs="Times"/>
      <w:lang w:val="en-GB" w:eastAsia="en-US" w:bidi="ar-SA"/>
    </w:rPr>
  </w:style>
  <w:style w:type="paragraph" w:customStyle="1" w:styleId="Organizationnameaddress">
    <w:name w:val="Organization name &amp; address"/>
    <w:basedOn w:val="TITLE"/>
    <w:rsid w:val="001E6A21"/>
    <w:pPr>
      <w:spacing w:after="0"/>
    </w:pPr>
    <w:rPr>
      <w:sz w:val="20"/>
      <w:szCs w:val="20"/>
    </w:rPr>
  </w:style>
  <w:style w:type="paragraph" w:customStyle="1" w:styleId="AbstractHeading">
    <w:name w:val="Abstract Heading"/>
    <w:basedOn w:val="Organizationnameaddress"/>
    <w:rsid w:val="001E6A21"/>
    <w:pPr>
      <w:spacing w:after="80"/>
    </w:pPr>
    <w:rPr>
      <w:i/>
      <w:iCs/>
      <w:sz w:val="24"/>
      <w:szCs w:val="24"/>
    </w:rPr>
  </w:style>
  <w:style w:type="paragraph" w:customStyle="1" w:styleId="MAINBODY">
    <w:name w:val="MAIN BODY"/>
    <w:basedOn w:val="Normal"/>
    <w:rsid w:val="001E6A21"/>
    <w:pPr>
      <w:spacing w:after="80"/>
      <w:ind w:firstLine="284"/>
    </w:pPr>
    <w:rPr>
      <w:color w:val="000000"/>
    </w:rPr>
  </w:style>
  <w:style w:type="paragraph" w:customStyle="1" w:styleId="MAINHEADINGS">
    <w:name w:val="MAIN HEADINGS"/>
    <w:basedOn w:val="Normal"/>
    <w:rsid w:val="001E6A21"/>
    <w:pPr>
      <w:numPr>
        <w:numId w:val="1"/>
      </w:numPr>
      <w:tabs>
        <w:tab w:val="right" w:pos="288"/>
      </w:tabs>
      <w:spacing w:before="240" w:after="80"/>
      <w:jc w:val="center"/>
    </w:pPr>
    <w:rPr>
      <w:smallCaps/>
      <w:sz w:val="24"/>
      <w:szCs w:val="24"/>
    </w:rPr>
  </w:style>
  <w:style w:type="paragraph" w:customStyle="1" w:styleId="Subheadings">
    <w:name w:val="Subheadings"/>
    <w:basedOn w:val="MAINBODY"/>
    <w:rsid w:val="001E6A21"/>
    <w:pPr>
      <w:numPr>
        <w:ilvl w:val="1"/>
        <w:numId w:val="1"/>
      </w:numPr>
      <w:spacing w:before="160"/>
      <w:jc w:val="left"/>
    </w:pPr>
    <w:rPr>
      <w:i/>
      <w:iCs/>
      <w:sz w:val="24"/>
      <w:szCs w:val="24"/>
    </w:rPr>
  </w:style>
  <w:style w:type="paragraph" w:customStyle="1" w:styleId="Figure">
    <w:name w:val="Figure"/>
    <w:rsid w:val="001E6A21"/>
    <w:pPr>
      <w:keepNext/>
      <w:spacing w:after="60"/>
      <w:jc w:val="center"/>
    </w:pPr>
    <w:rPr>
      <w:rFonts w:ascii="Times" w:hAnsi="Times" w:cs="Times"/>
      <w:lang w:val="en-GB"/>
    </w:rPr>
  </w:style>
  <w:style w:type="paragraph" w:customStyle="1" w:styleId="FigureCaption">
    <w:name w:val="Figure Caption"/>
    <w:rsid w:val="001E6A21"/>
    <w:pPr>
      <w:numPr>
        <w:numId w:val="26"/>
      </w:numPr>
      <w:spacing w:after="200"/>
      <w:jc w:val="center"/>
    </w:pPr>
    <w:rPr>
      <w:rFonts w:ascii="Times" w:hAnsi="Times"/>
      <w:color w:val="000000"/>
      <w:sz w:val="18"/>
      <w:szCs w:val="18"/>
      <w:lang w:val="en-GB"/>
    </w:rPr>
  </w:style>
  <w:style w:type="paragraph" w:customStyle="1" w:styleId="Paragraph">
    <w:name w:val="Paragraph"/>
    <w:basedOn w:val="Normal"/>
    <w:semiHidden/>
    <w:rsid w:val="001E6A21"/>
    <w:pPr>
      <w:spacing w:line="240" w:lineRule="exact"/>
      <w:ind w:firstLine="198"/>
    </w:pPr>
  </w:style>
  <w:style w:type="character" w:styleId="Hyperlink">
    <w:name w:val="Hyperlink"/>
    <w:basedOn w:val="DefaultParagraphFont"/>
    <w:uiPriority w:val="99"/>
    <w:rsid w:val="001E6A21"/>
    <w:rPr>
      <w:color w:val="0000FF"/>
      <w:u w:val="single"/>
    </w:rPr>
  </w:style>
  <w:style w:type="paragraph" w:customStyle="1" w:styleId="TABLECAPTION">
    <w:name w:val="TABLE CAPTION"/>
    <w:basedOn w:val="MAINBODY"/>
    <w:rsid w:val="001E6A21"/>
    <w:pPr>
      <w:numPr>
        <w:numId w:val="28"/>
      </w:numPr>
      <w:spacing w:before="200"/>
      <w:jc w:val="center"/>
    </w:pPr>
    <w:rPr>
      <w:sz w:val="18"/>
      <w:szCs w:val="18"/>
    </w:rPr>
  </w:style>
  <w:style w:type="paragraph" w:customStyle="1" w:styleId="Sub-subheadings">
    <w:name w:val="Sub-subheadings"/>
    <w:basedOn w:val="Subheadings"/>
    <w:rsid w:val="001E6A21"/>
    <w:pPr>
      <w:numPr>
        <w:ilvl w:val="2"/>
      </w:numPr>
    </w:pPr>
    <w:rPr>
      <w:sz w:val="20"/>
      <w:szCs w:val="20"/>
    </w:rPr>
  </w:style>
  <w:style w:type="paragraph" w:customStyle="1" w:styleId="TABLES">
    <w:name w:val="TABLES"/>
    <w:basedOn w:val="TABLECAPTION"/>
    <w:rsid w:val="001E6A21"/>
    <w:pPr>
      <w:numPr>
        <w:numId w:val="0"/>
      </w:numPr>
      <w:spacing w:before="0" w:after="0"/>
    </w:pPr>
  </w:style>
  <w:style w:type="character" w:customStyle="1" w:styleId="AuthorsnamesCharChar">
    <w:name w:val="Authors' names Char Char"/>
    <w:basedOn w:val="DefaultParagraphFont"/>
    <w:rsid w:val="001E6A21"/>
    <w:rPr>
      <w:rFonts w:ascii="Times" w:hAnsi="Times" w:cs="Times"/>
      <w:sz w:val="24"/>
      <w:szCs w:val="24"/>
      <w:lang w:val="en-GB" w:eastAsia="en-US" w:bidi="ar-SA"/>
    </w:rPr>
  </w:style>
  <w:style w:type="character" w:customStyle="1" w:styleId="MAINHEADINGSCharChar">
    <w:name w:val="MAIN HEADINGS Char Char"/>
    <w:basedOn w:val="DefaultParagraphFont"/>
    <w:rsid w:val="001E6A21"/>
    <w:rPr>
      <w:rFonts w:ascii="Times" w:hAnsi="Times" w:cs="Times"/>
      <w:smallCaps/>
      <w:sz w:val="24"/>
      <w:szCs w:val="24"/>
      <w:lang w:val="en-GB" w:eastAsia="en-US" w:bidi="ar-SA"/>
    </w:rPr>
  </w:style>
  <w:style w:type="paragraph" w:styleId="TableofFigures">
    <w:name w:val="table of figures"/>
    <w:basedOn w:val="Normal"/>
    <w:next w:val="Normal"/>
    <w:uiPriority w:val="99"/>
    <w:rsid w:val="001E6A21"/>
  </w:style>
  <w:style w:type="paragraph" w:styleId="BodyText">
    <w:name w:val="Body Text"/>
    <w:basedOn w:val="Normal"/>
    <w:rsid w:val="001E6A21"/>
    <w:pPr>
      <w:spacing w:after="120"/>
    </w:pPr>
  </w:style>
  <w:style w:type="character" w:customStyle="1" w:styleId="Char">
    <w:name w:val="Char"/>
    <w:basedOn w:val="DefaultParagraphFont"/>
    <w:rsid w:val="001E6A21"/>
    <w:rPr>
      <w:rFonts w:ascii="Times" w:hAnsi="Times" w:cs="Times"/>
      <w:lang w:val="en-GB" w:eastAsia="en-US" w:bidi="ar-SA"/>
    </w:rPr>
  </w:style>
  <w:style w:type="character" w:styleId="FollowedHyperlink">
    <w:name w:val="FollowedHyperlink"/>
    <w:basedOn w:val="DefaultParagraphFont"/>
    <w:rsid w:val="001E6A21"/>
    <w:rPr>
      <w:color w:val="800080"/>
      <w:u w:val="single"/>
    </w:rPr>
  </w:style>
  <w:style w:type="paragraph" w:styleId="BodyText2">
    <w:name w:val="Body Text 2"/>
    <w:basedOn w:val="Normal"/>
    <w:rsid w:val="001E6A21"/>
    <w:pPr>
      <w:ind w:right="-32"/>
    </w:pPr>
    <w:rPr>
      <w:color w:val="FF0000"/>
    </w:rPr>
  </w:style>
  <w:style w:type="paragraph" w:styleId="Caption">
    <w:name w:val="caption"/>
    <w:basedOn w:val="Normal"/>
    <w:next w:val="Normal"/>
    <w:qFormat/>
    <w:rsid w:val="001E6A21"/>
    <w:pPr>
      <w:jc w:val="left"/>
    </w:pPr>
    <w:rPr>
      <w:rFonts w:ascii="Times New Roman" w:hAnsi="Times New Roman" w:cs="Times New Roman"/>
      <w:b/>
      <w:bCs/>
      <w:lang w:val="en-US"/>
    </w:rPr>
  </w:style>
  <w:style w:type="paragraph" w:styleId="BodyText3">
    <w:name w:val="Body Text 3"/>
    <w:basedOn w:val="Normal"/>
    <w:rsid w:val="001E6A21"/>
    <w:pPr>
      <w:ind w:right="-32"/>
    </w:pPr>
  </w:style>
  <w:style w:type="paragraph" w:styleId="Footer">
    <w:name w:val="footer"/>
    <w:basedOn w:val="Normal"/>
    <w:rsid w:val="001E6A21"/>
    <w:pPr>
      <w:tabs>
        <w:tab w:val="center" w:pos="4320"/>
        <w:tab w:val="right" w:pos="8640"/>
      </w:tabs>
    </w:pPr>
  </w:style>
  <w:style w:type="character" w:styleId="PageNumber">
    <w:name w:val="page number"/>
    <w:basedOn w:val="DefaultParagraphFont"/>
    <w:rsid w:val="001E6A21"/>
  </w:style>
  <w:style w:type="character" w:customStyle="1" w:styleId="EndnoteTextChar">
    <w:name w:val="Endnote Text Char"/>
    <w:basedOn w:val="DefaultParagraphFont"/>
    <w:rsid w:val="001E6A21"/>
    <w:rPr>
      <w:lang w:val="en-US" w:eastAsia="en-US" w:bidi="ar-SA"/>
    </w:rPr>
  </w:style>
  <w:style w:type="paragraph" w:styleId="EndnoteText">
    <w:name w:val="endnote text"/>
    <w:basedOn w:val="Normal"/>
    <w:semiHidden/>
    <w:rsid w:val="001E6A21"/>
    <w:pPr>
      <w:jc w:val="left"/>
    </w:pPr>
    <w:rPr>
      <w:rFonts w:ascii="Times New Roman" w:hAnsi="Times New Roman" w:cs="Times New Roman"/>
      <w:lang w:val="en-US"/>
    </w:rPr>
  </w:style>
  <w:style w:type="paragraph" w:styleId="BalloonText">
    <w:name w:val="Balloon Text"/>
    <w:basedOn w:val="Normal"/>
    <w:semiHidden/>
    <w:unhideWhenUsed/>
    <w:rsid w:val="001E6A21"/>
    <w:rPr>
      <w:rFonts w:ascii="Tahoma" w:hAnsi="Tahoma" w:cs="Tahoma"/>
      <w:sz w:val="16"/>
      <w:szCs w:val="16"/>
    </w:rPr>
  </w:style>
  <w:style w:type="character" w:customStyle="1" w:styleId="BalloonTextChar">
    <w:name w:val="Balloon Text Char"/>
    <w:basedOn w:val="DefaultParagraphFont"/>
    <w:semiHidden/>
    <w:rsid w:val="001E6A21"/>
    <w:rPr>
      <w:rFonts w:ascii="Tahoma" w:hAnsi="Tahoma" w:cs="Tahoma"/>
      <w:sz w:val="16"/>
      <w:szCs w:val="16"/>
      <w:lang w:val="en-GB"/>
    </w:rPr>
  </w:style>
  <w:style w:type="character" w:styleId="CommentReference">
    <w:name w:val="annotation reference"/>
    <w:basedOn w:val="DefaultParagraphFont"/>
    <w:semiHidden/>
    <w:rsid w:val="001E6A21"/>
    <w:rPr>
      <w:sz w:val="16"/>
      <w:szCs w:val="16"/>
    </w:rPr>
  </w:style>
  <w:style w:type="paragraph" w:styleId="CommentText">
    <w:name w:val="annotation text"/>
    <w:basedOn w:val="Normal"/>
    <w:semiHidden/>
    <w:rsid w:val="001E6A21"/>
  </w:style>
  <w:style w:type="paragraph" w:styleId="CommentSubject">
    <w:name w:val="annotation subject"/>
    <w:basedOn w:val="CommentText"/>
    <w:next w:val="CommentText"/>
    <w:semiHidden/>
    <w:rsid w:val="001E6A21"/>
    <w:rPr>
      <w:b/>
      <w:bCs/>
    </w:rPr>
  </w:style>
  <w:style w:type="character" w:styleId="LineNumber">
    <w:name w:val="line number"/>
    <w:basedOn w:val="DefaultParagraphFont"/>
    <w:rsid w:val="003C7733"/>
  </w:style>
  <w:style w:type="table" w:styleId="TableGrid">
    <w:name w:val="Table Grid"/>
    <w:basedOn w:val="TableNormal"/>
    <w:rsid w:val="00AD0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74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iff"/><Relationship Id="rId10" Type="http://schemas.openxmlformats.org/officeDocument/2006/relationships/image" Target="media/image1.jpe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6526A-D453-4206-BA27-DAE230DFE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6736</Words>
  <Characters>34509</Characters>
  <Application>Microsoft Office Word</Application>
  <DocSecurity>0</DocSecurity>
  <Lines>287</Lines>
  <Paragraphs>82</Paragraphs>
  <ScaleCrop>false</ScaleCrop>
  <HeadingPairs>
    <vt:vector size="2" baseType="variant">
      <vt:variant>
        <vt:lpstr>Title</vt:lpstr>
      </vt:variant>
      <vt:variant>
        <vt:i4>1</vt:i4>
      </vt:variant>
    </vt:vector>
  </HeadingPairs>
  <TitlesOfParts>
    <vt:vector size="1" baseType="lpstr">
      <vt:lpstr>CSC DAQ</vt:lpstr>
    </vt:vector>
  </TitlesOfParts>
  <Company>The Ohio State University</Company>
  <LinksUpToDate>false</LinksUpToDate>
  <CharactersWithSpaces>41163</CharactersWithSpaces>
  <SharedDoc>false</SharedDoc>
  <HLinks>
    <vt:vector size="12" baseType="variant">
      <vt:variant>
        <vt:i4>1966146</vt:i4>
      </vt:variant>
      <vt:variant>
        <vt:i4>3</vt:i4>
      </vt:variant>
      <vt:variant>
        <vt:i4>0</vt:i4>
      </vt:variant>
      <vt:variant>
        <vt:i4>5</vt:i4>
      </vt:variant>
      <vt:variant>
        <vt:lpwstr>http://ttc.web.cern.ch/TTC/intro.html</vt:lpwstr>
      </vt:variant>
      <vt:variant>
        <vt:lpwstr/>
      </vt:variant>
      <vt:variant>
        <vt:i4>5963882</vt:i4>
      </vt:variant>
      <vt:variant>
        <vt:i4>0</vt:i4>
      </vt:variant>
      <vt:variant>
        <vt:i4>0</vt:i4>
      </vt:variant>
      <vt:variant>
        <vt:i4>5</vt:i4>
      </vt:variant>
      <vt:variant>
        <vt:lpwstr>http://www.xilinx.com/esp/mil_aero/collateral/presentations/ SEU_mitigation_technique.pdf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CSC DAQ</dc:title>
  <dc:creator>BYLSMA, DURKIN, GILMORE, GU, LING, RUSH</dc:creator>
  <cp:lastModifiedBy>GU</cp:lastModifiedBy>
  <cp:revision>2</cp:revision>
  <cp:lastPrinted>2011-08-29T19:26:00Z</cp:lastPrinted>
  <dcterms:created xsi:type="dcterms:W3CDTF">2011-10-13T17:16:00Z</dcterms:created>
  <dcterms:modified xsi:type="dcterms:W3CDTF">2011-10-13T17:16:00Z</dcterms:modified>
</cp:coreProperties>
</file>